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21C6">
      <w:pPr>
        <w:pStyle w:val="3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0" w:name="_Toc6041"/>
      <w:bookmarkStart w:id="1" w:name="_Toc26448"/>
      <w:r>
        <w:rPr>
          <w:rFonts w:hint="eastAsia" w:ascii="宋体" w:hAnsi="宋体"/>
          <w:color w:val="000000"/>
          <w:sz w:val="28"/>
          <w:szCs w:val="28"/>
        </w:rPr>
        <w:t>一、采购清单</w:t>
      </w:r>
      <w:bookmarkEnd w:id="0"/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231"/>
        <w:gridCol w:w="1100"/>
        <w:gridCol w:w="1452"/>
      </w:tblGrid>
      <w:tr w14:paraId="1432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" w:type="pct"/>
            <w:noWrap w:val="0"/>
            <w:vAlign w:val="center"/>
          </w:tcPr>
          <w:p w14:paraId="04CBDCD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3135" w:type="pct"/>
            <w:noWrap w:val="0"/>
            <w:vAlign w:val="center"/>
          </w:tcPr>
          <w:p w14:paraId="0ABE7588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2" w:name="_Toc4137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采购标的名称</w:t>
            </w:r>
            <w:bookmarkEnd w:id="2"/>
          </w:p>
        </w:tc>
        <w:tc>
          <w:tcPr>
            <w:tcW w:w="659" w:type="pct"/>
            <w:noWrap w:val="0"/>
            <w:vAlign w:val="center"/>
          </w:tcPr>
          <w:p w14:paraId="0A99E37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870" w:type="pct"/>
            <w:noWrap w:val="0"/>
            <w:vAlign w:val="center"/>
          </w:tcPr>
          <w:p w14:paraId="10AC124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</w:tr>
      <w:tr w14:paraId="2EAC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" w:type="pct"/>
            <w:noWrap w:val="0"/>
            <w:vAlign w:val="center"/>
          </w:tcPr>
          <w:p w14:paraId="3EAA27FF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35" w:type="pct"/>
            <w:noWrap w:val="0"/>
            <w:vAlign w:val="center"/>
          </w:tcPr>
          <w:p w14:paraId="2762597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江西理工大学2026年红旗校区11、12、13栋学生宿舍室内粉刷修缮</w:t>
            </w:r>
          </w:p>
        </w:tc>
        <w:tc>
          <w:tcPr>
            <w:tcW w:w="659" w:type="pct"/>
            <w:noWrap w:val="0"/>
            <w:vAlign w:val="center"/>
          </w:tcPr>
          <w:p w14:paraId="4A6FA502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 w14:paraId="047FC466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</w:tc>
      </w:tr>
    </w:tbl>
    <w:p w14:paraId="6F8DC7F4"/>
    <w:p w14:paraId="517895A5">
      <w:pPr>
        <w:pStyle w:val="3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3" w:name="_Toc98514396"/>
      <w:bookmarkStart w:id="4" w:name="_Toc22011"/>
      <w:r>
        <w:rPr>
          <w:rFonts w:hint="eastAsia" w:ascii="宋体" w:hAnsi="宋体"/>
          <w:color w:val="000000"/>
          <w:sz w:val="28"/>
          <w:szCs w:val="28"/>
        </w:rPr>
        <w:t>二、技术要求</w:t>
      </w:r>
      <w:bookmarkEnd w:id="1"/>
      <w:bookmarkEnd w:id="3"/>
      <w:bookmarkEnd w:id="4"/>
    </w:p>
    <w:p w14:paraId="1F6AE297">
      <w:pPr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（一）工程概况： </w:t>
      </w:r>
    </w:p>
    <w:p w14:paraId="686680A2">
      <w:pPr>
        <w:widowControl/>
        <w:spacing w:line="46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本工程为江西理工大学2026年红旗校区11、12、13栋学生宿舍室内粉刷修缮工程，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bidi="ar"/>
        </w:rPr>
        <w:t>总面积约为38231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㎡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bidi="ar"/>
        </w:rPr>
        <w:t>(含宿舍内墙面、天棚)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工程地址位于赣州市章贡区。供应商可自行前往现场踏勘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 w:bidi="ar"/>
        </w:rPr>
        <w:t>。</w:t>
      </w:r>
    </w:p>
    <w:p w14:paraId="538828E8">
      <w:pPr>
        <w:widowControl/>
        <w:spacing w:line="46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（二）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  <w:t>工程量清单：详见附件。</w:t>
      </w:r>
    </w:p>
    <w:p w14:paraId="795BFB5E">
      <w:pPr>
        <w:widowControl/>
        <w:spacing w:line="460" w:lineRule="exact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（三）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  <w:t>施工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 w:bidi="ar"/>
        </w:rPr>
        <w:t>方案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  <w:t>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bidi="ar"/>
        </w:rPr>
        <w:t>清理墙面原有墙纸、脱落、发霉部位等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 w:bidi="ar"/>
        </w:rPr>
        <w:t>；2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 w:bidi="ar"/>
        </w:rPr>
        <w:t>进行清扫、打磨、刷底漆一遍、乳胶漆二遍；3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 w:bidi="ar"/>
        </w:rPr>
        <w:t>脚手架、垂直运输等措施费综合考虑。</w:t>
      </w:r>
    </w:p>
    <w:p w14:paraId="29C0E16B">
      <w:pPr>
        <w:widowControl/>
        <w:spacing w:line="46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 w:bidi="ar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bidi="ar"/>
        </w:rPr>
        <w:t xml:space="preserve">）工程质量、材料、施工等的特殊要求： </w:t>
      </w:r>
    </w:p>
    <w:p w14:paraId="31C4DDD7">
      <w:pPr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1、工程质量等级达到国家施工验收合格标准。</w:t>
      </w:r>
    </w:p>
    <w:p w14:paraId="0677A75B">
      <w:pPr>
        <w:pStyle w:val="5"/>
        <w:ind w:firstLine="48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2、材料质量的</w:t>
      </w:r>
      <w:r>
        <w:rPr>
          <w:rFonts w:hint="eastAsia" w:ascii="宋体" w:hAnsi="宋体" w:cs="宋体"/>
          <w:color w:val="000000"/>
          <w:spacing w:val="10"/>
          <w:sz w:val="24"/>
          <w:szCs w:val="24"/>
        </w:rPr>
        <w:t>约定：</w:t>
      </w:r>
      <w:r>
        <w:t>项目主材需按照清单要求</w:t>
      </w:r>
      <w:r>
        <w:rPr>
          <w:rFonts w:hint="eastAsia"/>
        </w:rPr>
        <w:t>进行采购，进场材料均需提供材料三证（出厂证、合格证、材料检测报告）。订货前成交供应商应提供样品、合格证和材料检测报告，经采购人确认，符合采购文件要求，方可开始材料订购；否则，采购人有权制止使用并追究成交供应商的违约责任。</w:t>
      </w:r>
    </w:p>
    <w:p w14:paraId="3B0F5DD0">
      <w:pPr>
        <w:spacing w:line="46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</w:t>
      </w:r>
      <w:r>
        <w:rPr>
          <w:rFonts w:hint="eastAsia" w:ascii="宋体" w:hAnsi="宋体" w:cs="宋体"/>
          <w:color w:val="000000"/>
          <w:spacing w:val="10"/>
          <w:sz w:val="24"/>
          <w:szCs w:val="24"/>
        </w:rPr>
        <w:t>本工程清单中所有的材料只允许正偏差，不允许负偏差。</w:t>
      </w:r>
    </w:p>
    <w:p w14:paraId="017348CB">
      <w:pPr>
        <w:widowControl/>
        <w:spacing w:line="46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 w:bidi="ar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 xml:space="preserve">）其他需说明的问题： </w:t>
      </w:r>
    </w:p>
    <w:p w14:paraId="448238AC">
      <w:pPr>
        <w:spacing w:line="460" w:lineRule="exact"/>
        <w:ind w:firstLine="520" w:firstLineChars="200"/>
        <w:jc w:val="left"/>
        <w:rPr>
          <w:rFonts w:hint="eastAsia" w:ascii="宋体" w:hAnsi="宋体" w:eastAsia="宋体" w:cs="宋体"/>
          <w:color w:val="000000"/>
          <w:spacing w:val="1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10"/>
          <w:sz w:val="24"/>
          <w:szCs w:val="24"/>
        </w:rPr>
        <w:t>工程量清单中的安全生产措施费</w:t>
      </w:r>
      <w:r>
        <w:rPr>
          <w:rFonts w:hint="eastAsia" w:ascii="宋体" w:hAnsi="宋体" w:eastAsia="宋体" w:cs="宋体"/>
          <w:color w:val="000000"/>
          <w:spacing w:val="1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pacing w:val="10"/>
          <w:sz w:val="24"/>
          <w:szCs w:val="24"/>
          <w:highlight w:val="none"/>
          <w:lang w:val="en-US" w:eastAsia="zh-CN"/>
        </w:rPr>
        <w:t>税金</w:t>
      </w:r>
      <w:r>
        <w:rPr>
          <w:rFonts w:hint="eastAsia" w:ascii="宋体" w:hAnsi="宋体" w:eastAsia="宋体" w:cs="宋体"/>
          <w:color w:val="000000"/>
          <w:spacing w:val="10"/>
          <w:sz w:val="24"/>
          <w:szCs w:val="24"/>
          <w:highlight w:val="none"/>
        </w:rPr>
        <w:t>、暂</w:t>
      </w:r>
      <w:r>
        <w:rPr>
          <w:rFonts w:hint="eastAsia" w:ascii="宋体" w:hAnsi="宋体" w:eastAsia="宋体" w:cs="宋体"/>
          <w:color w:val="000000"/>
          <w:spacing w:val="10"/>
          <w:sz w:val="24"/>
          <w:szCs w:val="24"/>
        </w:rPr>
        <w:t>列金均属于不可竞争费，不得让利，否则视为无效响应。</w:t>
      </w:r>
    </w:p>
    <w:p w14:paraId="7D9D95F1">
      <w:pPr>
        <w:pStyle w:val="4"/>
        <w:ind w:firstLine="0"/>
        <w:rPr>
          <w:rFonts w:hint="eastAsia" w:ascii="宋体" w:hAnsi="宋体"/>
          <w:b/>
          <w:sz w:val="24"/>
        </w:rPr>
      </w:pPr>
    </w:p>
    <w:p w14:paraId="7618F8EE">
      <w:r>
        <w:rPr>
          <w:rFonts w:hint="eastAsia" w:ascii="宋体" w:hAnsi="宋体"/>
          <w:b/>
          <w:sz w:val="24"/>
        </w:rPr>
        <w:t>注：以上“技术要求”为实质性要求，必须完全满足，否则响应无效。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5316"/>
    <w:rsid w:val="5D92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2026-07-02T07:21:00Z</dcterms:created>
  <dc:creator>包泽宁</dc:creator>
  <cp:lastModifiedBy>包泽宁</cp:lastModifiedBy>
  <dcterms:modified xsi:type="dcterms:W3CDTF">2026-07-02T07:21:17Z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70F0045726EB4379AF24A9642EF58787_11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