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napToGrid w:val="0"/>
          <w:color w:val="000000"/>
          <w:kern w:val="0"/>
          <w:sz w:val="48"/>
          <w:szCs w:val="48"/>
          <w:lang w:val="en-US" w:eastAsia="en-US" w:bidi="ar-SA"/>
        </w:rPr>
      </w:pPr>
      <w:r>
        <w:rPr>
          <w:rFonts w:hint="eastAsia" w:ascii="方正小标宋简体" w:hAnsi="方正小标宋简体" w:eastAsia="方正小标宋简体" w:cs="方正小标宋简体"/>
          <w:b/>
          <w:bCs/>
          <w:snapToGrid w:val="0"/>
          <w:color w:val="000000"/>
          <w:spacing w:val="34"/>
          <w:kern w:val="0"/>
          <w:sz w:val="48"/>
          <w:szCs w:val="48"/>
          <w:lang w:val="en-US" w:eastAsia="en-US" w:bidi="ar-SA"/>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33FBC3C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eastAsia="en-US"/>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napToGrid w:val="0"/>
          <w:color w:val="000000"/>
          <w:kern w:val="0"/>
          <w:sz w:val="28"/>
          <w:szCs w:val="28"/>
          <w:lang w:val="en-US" w:eastAsia="en-US" w:bidi="ar-SA"/>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napToGrid w:val="0"/>
          <w:color w:val="000000"/>
          <w:kern w:val="0"/>
          <w:sz w:val="28"/>
          <w:szCs w:val="28"/>
          <w:lang w:val="en-US" w:eastAsia="en-US" w:bidi="ar-SA"/>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。非实质性技术参数发生负偏离或不响应达3项（含）以上的，投标无效。</w:t>
      </w:r>
    </w:p>
    <w:p w14:paraId="69B6EA2C">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auto"/>
          <w:kern w:val="0"/>
          <w:sz w:val="28"/>
          <w:szCs w:val="28"/>
          <w:highlight w:val="none"/>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8</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实质性参数（标注“▲”的条款）需提供证明材料：</w:t>
      </w:r>
      <w:r>
        <w:rPr>
          <w:rFonts w:hint="eastAsia" w:ascii="方正仿宋_GB2312" w:hAnsi="方正仿宋_GB2312" w:eastAsia="方正仿宋_GB2312" w:cs="方正仿宋_GB2312"/>
          <w:b/>
          <w:bCs/>
          <w:snapToGrid w:val="0"/>
          <w:color w:val="000000"/>
          <w:kern w:val="0"/>
          <w:sz w:val="28"/>
          <w:szCs w:val="28"/>
          <w:lang w:val="en-US" w:eastAsia="en-US" w:bidi="ar-SA"/>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，并按照负偏离认</w:t>
      </w: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定</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w:t>
      </w:r>
    </w:p>
    <w:p w14:paraId="64CCB7A2">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9</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招标文件中所要求提供的证明材料，如为英文文本的请提供中文翻译文本。</w:t>
      </w:r>
    </w:p>
    <w:p w14:paraId="16894D3F">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zh-CN" w:bidi="ar-SA"/>
          <w:woUserID w:val="2"/>
        </w:rPr>
      </w:pPr>
      <w:r>
        <w:rPr>
          <w:rFonts w:hint="eastAsia" w:ascii="方正仿宋_GB2312" w:hAnsi="方正仿宋_GB2312" w:eastAsia="方正仿宋_GB2312" w:cs="方正仿宋_GB2312"/>
          <w:snapToGrid w:val="0"/>
          <w:color w:val="000000"/>
          <w:kern w:val="0"/>
          <w:sz w:val="28"/>
          <w:szCs w:val="28"/>
          <w:lang w:val="en-US" w:eastAsia="en-US" w:bidi="ar-SA"/>
          <w:woUserID w:val="2"/>
        </w:rPr>
        <w:t>10、本项目中小企业划分标准所属行业名称：工业</w:t>
      </w:r>
      <w:r>
        <w:rPr>
          <w:rFonts w:hint="eastAsia" w:ascii="方正仿宋_GB2312" w:hAnsi="方正仿宋_GB2312" w:eastAsia="方正仿宋_GB2312" w:cs="方正仿宋_GB2312"/>
          <w:snapToGrid w:val="0"/>
          <w:color w:val="000000"/>
          <w:kern w:val="0"/>
          <w:sz w:val="28"/>
          <w:szCs w:val="28"/>
          <w:lang w:val="en-US" w:eastAsia="zh-CN" w:bidi="ar-SA"/>
          <w:woUserID w:val="2"/>
        </w:rPr>
        <w:t>。</w:t>
      </w:r>
    </w:p>
    <w:p w14:paraId="2E422E03">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p>
    <w:p w14:paraId="49F3551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1.项目名称：动态血压监护仪采购项目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2.招标采购预算：14500元/台，数量3台，合计43500元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3.质保要求：</w:t>
      </w:r>
      <w:r>
        <w:rPr>
          <w:rFonts w:hint="eastAsia" w:ascii="方正仿宋_GB2312" w:hAnsi="方正仿宋_GB2312" w:eastAsia="方正仿宋_GB2312" w:cs="方正仿宋_GB2312"/>
          <w:snapToGrid w:val="0"/>
          <w:color w:val="auto"/>
          <w:kern w:val="0"/>
          <w:sz w:val="28"/>
          <w:szCs w:val="28"/>
          <w:lang w:val="en-US" w:eastAsia="zh-CN"/>
        </w:rPr>
        <w:t>整套设备质保期</w:t>
      </w:r>
      <w:r>
        <w:rPr>
          <w:rFonts w:hint="eastAsia" w:ascii="方正仿宋_GB2312" w:hAnsi="方正仿宋_GB2312" w:eastAsia="方正仿宋_GB2312" w:cs="方正仿宋_GB2312"/>
          <w:snapToGrid w:val="0"/>
          <w:color w:val="000000"/>
          <w:kern w:val="0"/>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4.申请科室：神经电生理及心电诊断科</w:t>
      </w:r>
    </w:p>
    <w:tbl>
      <w:tblPr>
        <w:tblStyle w:val="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动态血压监护仪采购项目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3台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14500</w:t>
            </w:r>
          </w:p>
        </w:tc>
        <w:tc>
          <w:tcPr>
            <w:tcW w:w="6812" w:type="dxa"/>
          </w:tcPr>
          <w:p w14:paraId="1262DCA6">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▲1.测量范围至少包含：收缩压50-295mmHg，舒张压20-245mmHg；</w:t>
            </w:r>
          </w:p>
          <w:p w14:paraId="44CC581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2.测量精度</w:t>
            </w:r>
            <w:r>
              <w:rPr>
                <w:rFonts w:hint="eastAsia" w:ascii="宋体" w:hAnsi="宋体" w:eastAsia="宋体" w:cs="宋体"/>
                <w:snapToGrid w:val="0"/>
                <w:color w:val="000000"/>
                <w:kern w:val="0"/>
                <w:sz w:val="28"/>
                <w:szCs w:val="28"/>
                <w:lang w:val="en-US" w:eastAsia="zh-CN"/>
              </w:rPr>
              <w:t>≦</w:t>
            </w:r>
            <w:r>
              <w:rPr>
                <w:rFonts w:hint="eastAsia" w:ascii="方正仿宋_GB2312" w:hAnsi="方正仿宋_GB2312" w:eastAsia="方正仿宋_GB2312" w:cs="方正仿宋_GB2312"/>
                <w:snapToGrid w:val="0"/>
                <w:color w:val="000000"/>
                <w:kern w:val="0"/>
                <w:sz w:val="28"/>
                <w:szCs w:val="28"/>
                <w:lang w:val="en-US" w:eastAsia="zh-CN"/>
              </w:rPr>
              <w:t>± 3mmHg，脉率</w:t>
            </w:r>
            <w:r>
              <w:rPr>
                <w:rFonts w:hint="eastAsia" w:ascii="宋体" w:hAnsi="宋体" w:eastAsia="宋体" w:cs="宋体"/>
                <w:snapToGrid w:val="0"/>
                <w:color w:val="000000"/>
                <w:kern w:val="0"/>
                <w:sz w:val="28"/>
                <w:szCs w:val="28"/>
                <w:lang w:val="en-US" w:eastAsia="zh-CN"/>
              </w:rPr>
              <w:t>≦</w:t>
            </w:r>
            <w:r>
              <w:rPr>
                <w:rFonts w:hint="eastAsia" w:ascii="方正仿宋_GB2312" w:hAnsi="方正仿宋_GB2312" w:eastAsia="方正仿宋_GB2312" w:cs="方正仿宋_GB2312"/>
                <w:snapToGrid w:val="0"/>
                <w:color w:val="000000"/>
                <w:kern w:val="0"/>
                <w:sz w:val="28"/>
                <w:szCs w:val="28"/>
                <w:lang w:val="en-US" w:eastAsia="zh-CN"/>
              </w:rPr>
              <w:t>±5%；</w:t>
            </w:r>
          </w:p>
          <w:p w14:paraId="57BDF8FB">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▲3.充气压力至少包含0-299mmHg，心率30-240mmHg；</w:t>
            </w:r>
          </w:p>
          <w:p w14:paraId="7BF4DC6D">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4.记录容量≥400条；</w:t>
            </w:r>
          </w:p>
          <w:p w14:paraId="1B43047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5.测量方法：至少包含示波法，线性放气；</w:t>
            </w:r>
          </w:p>
          <w:p w14:paraId="584EDB42">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▲6.测量模式：至少包含定时模式/自动模式/睡眠模式/自定义模式；</w:t>
            </w:r>
          </w:p>
          <w:p w14:paraId="73CD4FB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7.测量间隔：5/10/15/20/30/60/120分钟，可设定测量间隔，间隔包含2-120分钟；</w:t>
            </w:r>
          </w:p>
          <w:p w14:paraId="7519F2C4">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8.电池：碱性电池，支持至少200次测量；</w:t>
            </w:r>
          </w:p>
          <w:p w14:paraId="2FF4DA4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9. PC接口包含USB、蓝牙、红外；</w:t>
            </w:r>
          </w:p>
          <w:p w14:paraId="6955C18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▲10.自适应放气和充气技术，内置双处理器并行监控，保证测量安全；</w:t>
            </w:r>
          </w:p>
          <w:p w14:paraId="3143A789">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11.病人不适时可按键快速停止测量并放气；</w:t>
            </w:r>
          </w:p>
          <w:p w14:paraId="1517D862">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▲12.支持双臂血压分析，提供血压脉搏波波形显示功能；</w:t>
            </w:r>
          </w:p>
          <w:p w14:paraId="1B2A39F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13.智能识别病人测量状态，包括静止、心律失常、轻/中/重度运动；</w:t>
            </w:r>
          </w:p>
          <w:p w14:paraId="1392C307">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▲14.支持网络功能，可与医院现有平台对接，可在同一个</w:t>
            </w:r>
            <w:bookmarkStart w:id="11" w:name="_GoBack"/>
            <w:bookmarkEnd w:id="11"/>
            <w:r>
              <w:rPr>
                <w:rFonts w:hint="eastAsia" w:ascii="方正仿宋_GB2312" w:hAnsi="方正仿宋_GB2312" w:eastAsia="方正仿宋_GB2312" w:cs="方正仿宋_GB2312"/>
                <w:snapToGrid w:val="0"/>
                <w:color w:val="000000"/>
                <w:kern w:val="0"/>
                <w:sz w:val="28"/>
                <w:szCs w:val="28"/>
                <w:lang w:val="en-US" w:eastAsia="zh-CN"/>
              </w:rPr>
              <w:t>软件进行数据录入、报告打印；</w:t>
            </w:r>
          </w:p>
          <w:p w14:paraId="3AFFB02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15.支持恢复上次数据功能；</w:t>
            </w:r>
          </w:p>
          <w:p w14:paraId="3BD8A9F7">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16.可自定义首页模板报告、分析结论格式；</w:t>
            </w:r>
          </w:p>
          <w:p w14:paraId="6E2DBDF8">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17.提供多种图表辅助分析工具，包括趋势图、相关图、饼图、 直方图、昼夜规律图、比较图等；</w:t>
            </w:r>
          </w:p>
          <w:p w14:paraId="2C8002E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▲18.提供血压变异系数、夜间血压下降比、血压负荷、晨峰血压、清晨血压平滑指数、平均真实变异性ARV、加权标准差wSD等分析指标；</w:t>
            </w:r>
          </w:p>
          <w:p w14:paraId="49CF513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default" w:ascii="方正仿宋_GB2312" w:hAnsi="方正仿宋_GB2312" w:eastAsia="宋体"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▲19.配置清单（每台）：动态血压主机一台；成人袖带2副；USB数据线一根。</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0" w:name="_Toc204778399"/>
            <w:r>
              <w:rPr>
                <w:rFonts w:hint="eastAsia" w:ascii="方正仿宋_GB2312" w:hAnsi="方正仿宋_GB2312" w:eastAsia="方正仿宋_GB2312" w:cs="方正仿宋_GB2312"/>
                <w:snapToGrid w:val="0"/>
                <w:color w:val="auto"/>
                <w:spacing w:val="6"/>
                <w:kern w:val="0"/>
                <w:sz w:val="28"/>
                <w:szCs w:val="28"/>
                <w:lang w:eastAsia="en-US"/>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1" w:name="_Toc204778400"/>
            <w:r>
              <w:rPr>
                <w:rFonts w:hint="eastAsia" w:ascii="方正仿宋_GB2312" w:hAnsi="方正仿宋_GB2312" w:eastAsia="方正仿宋_GB2312" w:cs="方正仿宋_GB2312"/>
                <w:snapToGrid w:val="0"/>
                <w:color w:val="auto"/>
                <w:spacing w:val="6"/>
                <w:kern w:val="0"/>
                <w:sz w:val="28"/>
                <w:szCs w:val="28"/>
                <w:lang w:eastAsia="en-US"/>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零配件更换</w:t>
            </w:r>
            <w:r>
              <w:rPr>
                <w:rFonts w:hint="eastAsia" w:ascii="方正仿宋_GB2312" w:hAnsi="方正仿宋_GB2312" w:eastAsia="方正仿宋_GB2312" w:cs="方正仿宋_GB2312"/>
                <w:snapToGrid w:val="0"/>
                <w:color w:val="auto"/>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en-US"/>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2" w:name="_Toc204778401"/>
            <w:r>
              <w:rPr>
                <w:rFonts w:hint="eastAsia" w:ascii="方正仿宋_GB2312" w:hAnsi="方正仿宋_GB2312" w:eastAsia="方正仿宋_GB2312" w:cs="方正仿宋_GB2312"/>
                <w:snapToGrid w:val="0"/>
                <w:color w:val="auto"/>
                <w:spacing w:val="6"/>
                <w:kern w:val="0"/>
                <w:sz w:val="28"/>
                <w:szCs w:val="28"/>
                <w:lang w:eastAsia="en-US"/>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3" w:name="_Toc204778402"/>
            <w:r>
              <w:rPr>
                <w:rFonts w:hint="eastAsia" w:ascii="方正仿宋_GB2312" w:hAnsi="方正仿宋_GB2312" w:eastAsia="方正仿宋_GB2312" w:cs="方正仿宋_GB2312"/>
                <w:snapToGrid w:val="0"/>
                <w:color w:val="auto"/>
                <w:spacing w:val="6"/>
                <w:kern w:val="0"/>
                <w:sz w:val="28"/>
                <w:szCs w:val="28"/>
                <w:lang w:eastAsia="en-US"/>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4" w:name="_Toc204778403"/>
            <w:r>
              <w:rPr>
                <w:rFonts w:hint="eastAsia" w:ascii="方正仿宋_GB2312" w:hAnsi="方正仿宋_GB2312" w:eastAsia="方正仿宋_GB2312" w:cs="方正仿宋_GB2312"/>
                <w:snapToGrid w:val="0"/>
                <w:color w:val="auto"/>
                <w:spacing w:val="6"/>
                <w:kern w:val="0"/>
                <w:sz w:val="28"/>
                <w:szCs w:val="28"/>
                <w:lang w:eastAsia="en-US"/>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lang w:eastAsia="en-US"/>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lang w:eastAsia="en-US"/>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b/>
                <w:bCs/>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en-US"/>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lang w:eastAsia="en-US"/>
              </w:rPr>
              <w:t>所更换的零配件必须是原</w:t>
            </w:r>
            <w:r>
              <w:rPr>
                <w:rFonts w:hint="eastAsia" w:ascii="方正仿宋_GB2312" w:hAnsi="方正仿宋_GB2312" w:eastAsia="方正仿宋_GB2312" w:cs="方正仿宋_GB2312"/>
                <w:snapToGrid w:val="0"/>
                <w:color w:val="auto"/>
                <w:spacing w:val="5"/>
                <w:kern w:val="0"/>
                <w:sz w:val="28"/>
                <w:szCs w:val="28"/>
                <w:lang w:eastAsia="en-US"/>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lang w:eastAsia="en-US"/>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lang w:eastAsia="en-US"/>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widowControl/>
              <w:kinsoku w:val="0"/>
              <w:overflowPunct/>
              <w:autoSpaceDE w:val="0"/>
              <w:autoSpaceDN w:val="0"/>
              <w:bidi w:val="0"/>
              <w:adjustRightInd w:val="0"/>
              <w:snapToGrid w:val="0"/>
              <w:spacing w:line="360" w:lineRule="exact"/>
              <w:ind w:firstLine="290" w:firstLineChars="1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en-US"/>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snapToGrid w:val="0"/>
                <w:color w:val="auto"/>
                <w:kern w:val="0"/>
                <w:sz w:val="28"/>
                <w:szCs w:val="28"/>
                <w:lang w:eastAsia="en-US"/>
              </w:rPr>
              <w:t>维保技术人员配置与稳定性要求</w:t>
            </w:r>
            <w:r>
              <w:rPr>
                <w:rFonts w:hint="eastAsia" w:ascii="方正仿宋_GB2312" w:hAnsi="方正仿宋_GB2312" w:eastAsia="方正仿宋_GB2312" w:cs="方正仿宋_GB2312"/>
                <w:snapToGrid w:val="0"/>
                <w:color w:val="auto"/>
                <w:kern w:val="0"/>
                <w:sz w:val="28"/>
                <w:szCs w:val="28"/>
                <w:lang w:eastAsia="zh-CN"/>
              </w:rPr>
              <w:t>如下</w:t>
            </w:r>
          </w:p>
          <w:p w14:paraId="484F91C2">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lang w:eastAsia="en-US"/>
              </w:rPr>
              <w:t>社保缴纳证明。</w:t>
            </w:r>
          </w:p>
          <w:p w14:paraId="25DE0264">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负责人及核心技术人员未经采购人同意不得随意更换。</w:t>
            </w:r>
          </w:p>
          <w:p w14:paraId="5E129267">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lang w:eastAsia="en-US"/>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3.提供7*24小时售后服务，接到采购人通知后2小时内作出实质响应（远程解决或做出预备维护动作），并在24小时内恢复设备运行；</w:t>
            </w:r>
          </w:p>
          <w:p w14:paraId="79BEBC1A">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lang w:eastAsia="en-US"/>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bookmarkStart w:id="7" w:name="_Toc204778407"/>
            <w:r>
              <w:rPr>
                <w:rFonts w:hint="eastAsia" w:ascii="方正仿宋_GB2312" w:hAnsi="方正仿宋_GB2312" w:eastAsia="方正仿宋_GB2312" w:cs="方正仿宋_GB2312"/>
                <w:snapToGrid w:val="0"/>
                <w:color w:val="auto"/>
                <w:spacing w:val="5"/>
                <w:kern w:val="0"/>
                <w:sz w:val="28"/>
                <w:szCs w:val="28"/>
                <w:lang w:eastAsia="en-US"/>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kern w:val="0"/>
                <w:sz w:val="28"/>
                <w:szCs w:val="28"/>
                <w:lang w:val="en-US"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8" w:name="_Toc204778411"/>
            <w:r>
              <w:rPr>
                <w:rFonts w:hint="eastAsia" w:ascii="方正仿宋_GB2312" w:hAnsi="方正仿宋_GB2312" w:eastAsia="方正仿宋_GB2312" w:cs="方正仿宋_GB2312"/>
                <w:snapToGrid w:val="0"/>
                <w:color w:val="auto"/>
                <w:spacing w:val="6"/>
                <w:kern w:val="0"/>
                <w:sz w:val="28"/>
                <w:szCs w:val="28"/>
                <w:lang w:eastAsia="en-US"/>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lang w:eastAsia="en-US"/>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snapToGrid w:val="0"/>
                <w:color w:val="auto"/>
                <w:spacing w:val="5"/>
                <w:kern w:val="0"/>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lang w:eastAsia="en-US"/>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lang w:eastAsia="en-US"/>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lang w:eastAsia="en-US"/>
              </w:rPr>
              <w:t>换不</w:t>
            </w:r>
            <w:r>
              <w:rPr>
                <w:rFonts w:hint="eastAsia" w:ascii="方正仿宋_GB2312" w:hAnsi="方正仿宋_GB2312" w:eastAsia="方正仿宋_GB2312" w:cs="方正仿宋_GB2312"/>
                <w:snapToGrid w:val="0"/>
                <w:color w:val="auto"/>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lang w:eastAsia="en-US"/>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lang w:eastAsia="en-US"/>
              </w:rPr>
              <w:t>），</w:t>
            </w:r>
            <w:r>
              <w:rPr>
                <w:rFonts w:hint="eastAsia" w:ascii="方正仿宋_GB2312" w:hAnsi="方正仿宋_GB2312" w:eastAsia="方正仿宋_GB2312" w:cs="方正仿宋_GB2312"/>
                <w:snapToGrid w:val="0"/>
                <w:color w:val="auto"/>
                <w:spacing w:val="6"/>
                <w:kern w:val="0"/>
                <w:sz w:val="28"/>
                <w:szCs w:val="28"/>
                <w:lang w:eastAsia="en-US"/>
              </w:rPr>
              <w:t>采购人可以要求</w:t>
            </w:r>
            <w:r>
              <w:rPr>
                <w:rFonts w:hint="eastAsia" w:ascii="方正仿宋_GB2312" w:hAnsi="方正仿宋_GB2312" w:eastAsia="方正仿宋_GB2312" w:cs="方正仿宋_GB2312"/>
                <w:snapToGrid w:val="0"/>
                <w:color w:val="auto"/>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lang w:eastAsia="en-US"/>
              </w:rPr>
              <w:t>货款额的</w:t>
            </w:r>
            <w:r>
              <w:rPr>
                <w:rFonts w:hint="eastAsia" w:ascii="方正仿宋_GB2312" w:hAnsi="方正仿宋_GB2312" w:eastAsia="方正仿宋_GB2312" w:cs="方正仿宋_GB2312"/>
                <w:snapToGrid w:val="0"/>
                <w:color w:val="auto"/>
                <w:spacing w:val="-42"/>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lang w:eastAsia="en-US"/>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lang w:eastAsia="en-US"/>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9.其</w:t>
            </w:r>
            <w:r>
              <w:rPr>
                <w:rFonts w:hint="eastAsia" w:ascii="方正仿宋_GB2312" w:hAnsi="方正仿宋_GB2312" w:eastAsia="方正仿宋_GB2312" w:cs="方正仿宋_GB2312"/>
                <w:snapToGrid w:val="0"/>
                <w:color w:val="auto"/>
                <w:spacing w:val="5"/>
                <w:kern w:val="0"/>
                <w:sz w:val="28"/>
                <w:szCs w:val="28"/>
                <w:lang w:eastAsia="en-US"/>
              </w:rPr>
              <w:t>他</w:t>
            </w:r>
            <w:r>
              <w:rPr>
                <w:rFonts w:hint="eastAsia" w:ascii="方正仿宋_GB2312" w:hAnsi="方正仿宋_GB2312" w:eastAsia="方正仿宋_GB2312" w:cs="方正仿宋_GB2312"/>
                <w:snapToGrid w:val="0"/>
                <w:color w:val="auto"/>
                <w:spacing w:val="-1"/>
                <w:kern w:val="0"/>
                <w:sz w:val="28"/>
                <w:szCs w:val="28"/>
                <w:lang w:eastAsia="en-US"/>
              </w:rPr>
              <w:t>违约行为按违约货款额</w:t>
            </w:r>
            <w:r>
              <w:rPr>
                <w:rFonts w:hint="eastAsia" w:ascii="方正仿宋_GB2312" w:hAnsi="方正仿宋_GB2312" w:eastAsia="方正仿宋_GB2312" w:cs="方正仿宋_GB2312"/>
                <w:snapToGrid w:val="0"/>
                <w:color w:val="auto"/>
                <w:spacing w:val="-35"/>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5%收取违约金并赔偿经济损</w:t>
            </w:r>
            <w:r>
              <w:rPr>
                <w:rFonts w:hint="eastAsia" w:ascii="方正仿宋_GB2312" w:hAnsi="方正仿宋_GB2312" w:eastAsia="方正仿宋_GB2312" w:cs="方正仿宋_GB2312"/>
                <w:snapToGrid w:val="0"/>
                <w:color w:val="auto"/>
                <w:spacing w:val="-12"/>
                <w:kern w:val="0"/>
                <w:sz w:val="28"/>
                <w:szCs w:val="28"/>
                <w:lang w:eastAsia="en-US"/>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lang w:eastAsia="en-US"/>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lang w:eastAsia="en-US"/>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lang w:eastAsia="en-US"/>
              </w:rPr>
              <w:t>三、进口产品说明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sym w:font="Wingdings 2" w:char="00A3"/>
            </w:r>
            <w:r>
              <w:rPr>
                <w:rFonts w:hint="eastAsia" w:ascii="方正仿宋_GB2312" w:hAnsi="方正仿宋_GB2312" w:eastAsia="方正仿宋_GB2312" w:cs="方正仿宋_GB2312"/>
                <w:snapToGrid w:val="0"/>
                <w:color w:val="auto"/>
                <w:spacing w:val="5"/>
                <w:kern w:val="0"/>
                <w:sz w:val="28"/>
                <w:szCs w:val="28"/>
                <w:lang w:eastAsia="en-US"/>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8"/>
          <w:szCs w:val="28"/>
          <w:lang w:eastAsia="en-US"/>
        </w:rPr>
      </w:pPr>
    </w:p>
    <w:p w14:paraId="7462CE33"/>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4DD7F2-576D-421B-AC47-F76EA9A841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715BD35-3962-4AF5-BFAC-8D352A948EDC}"/>
  </w:font>
  <w:font w:name="方正仿宋_GB2312">
    <w:panose1 w:val="02000000000000000000"/>
    <w:charset w:val="86"/>
    <w:family w:val="auto"/>
    <w:pitch w:val="default"/>
    <w:sig w:usb0="A00002BF" w:usb1="184F6CFA" w:usb2="00000012" w:usb3="00000000" w:csb0="00040001" w:csb1="00000000"/>
    <w:embedRegular r:id="rId3" w:fontKey="{CE22CD47-E599-45A4-B331-307863D190E3}"/>
  </w:font>
  <w:font w:name="Wingdings 2">
    <w:panose1 w:val="05020102010507070707"/>
    <w:charset w:val="02"/>
    <w:family w:val="roman"/>
    <w:pitch w:val="default"/>
    <w:sig w:usb0="00000000" w:usb1="00000000" w:usb2="00000000" w:usb3="00000000" w:csb0="80000000" w:csb1="00000000"/>
    <w:embedRegular r:id="rId4" w:fontKey="{FDBE3A58-041F-493A-A8A0-C54925967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lang w:val="en-US" w:eastAsia="en-US"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599A"/>
    <w:rsid w:val="039C439C"/>
    <w:rsid w:val="045C4A1E"/>
    <w:rsid w:val="074B1D32"/>
    <w:rsid w:val="0E5968A8"/>
    <w:rsid w:val="177E4A68"/>
    <w:rsid w:val="194674E2"/>
    <w:rsid w:val="28616FBD"/>
    <w:rsid w:val="386A4D5E"/>
    <w:rsid w:val="42402890"/>
    <w:rsid w:val="456C1406"/>
    <w:rsid w:val="477E46D1"/>
    <w:rsid w:val="4EB3158A"/>
    <w:rsid w:val="508D2AE9"/>
    <w:rsid w:val="51437FCF"/>
    <w:rsid w:val="60D96770"/>
    <w:rsid w:val="647D2B1A"/>
    <w:rsid w:val="6794380C"/>
    <w:rsid w:val="6B9901D8"/>
    <w:rsid w:val="6C46599A"/>
    <w:rsid w:val="6F165FCD"/>
    <w:rsid w:val="6FF80057"/>
    <w:rsid w:val="7ABB5863"/>
    <w:rsid w:val="7DD2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6287</Words>
  <Characters>6503</Characters>
  <Lines>0</Lines>
  <Paragraphs>0</Paragraphs>
  <TotalTime>0</TotalTime>
  <ScaleCrop>false</ScaleCrop>
  <LinksUpToDate>false</LinksUpToDate>
  <CharactersWithSpaces>6520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2026-05-28T08:27:00Z</dcterms:created>
  <dc:creator>WLO</dc:creator>
  <cp:lastModifiedBy>WLO</cp:lastModifiedBy>
  <dcterms:modified xsi:type="dcterms:W3CDTF">2026-06-25T03:02:45Z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6F7A0CD0936644E8BC12DEC55AF6A4F6_11</vt:lpwstr>
  </property>
  <property fmtid="{D5CDD505-2E9C-101B-9397-08002B2CF9AE}" pid="4" name="KSOTemplateDocerSaveRecord">
    <vt:lpwstr>eyJoZGlkIjoiOGUxNzZkMmQ3N2IyYzdlZDQxMzZlOTA3MjhlYmU3MTIiLCJ1c2VySWQiOiIxMTUzMDkzMDQ0In0=</vt:lpwstr>
  </property>
</Properties>
</file>