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7EECF">
      <w:pPr>
        <w:keepNext/>
        <w:keepLines/>
        <w:spacing w:line="500" w:lineRule="exact"/>
        <w:jc w:val="center"/>
        <w:outlineLvl w:val="1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  <w:bookmarkStart w:id="0" w:name="_Toc28804"/>
      <w:bookmarkStart w:id="1" w:name="_Toc603"/>
      <w:bookmarkStart w:id="2" w:name="_Toc1045"/>
      <w:bookmarkStart w:id="3" w:name="_Toc31718"/>
      <w:bookmarkStart w:id="4" w:name="_Toc7296"/>
      <w:bookmarkStart w:id="5" w:name="_Toc483"/>
      <w:bookmarkStart w:id="6" w:name="_Toc98514396"/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一、标的清单</w:t>
      </w:r>
      <w:bookmarkEnd w:id="0"/>
      <w:bookmarkEnd w:id="1"/>
      <w:bookmarkEnd w:id="2"/>
      <w:bookmarkEnd w:id="3"/>
      <w:bookmarkEnd w:id="4"/>
    </w:p>
    <w:tbl>
      <w:tblPr>
        <w:tblStyle w:val="5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3190"/>
        <w:gridCol w:w="1227"/>
        <w:gridCol w:w="1227"/>
        <w:gridCol w:w="1919"/>
        <w:gridCol w:w="1725"/>
      </w:tblGrid>
      <w:tr w14:paraId="7BC8D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38" w:type="dxa"/>
            <w:vAlign w:val="center"/>
          </w:tcPr>
          <w:p w14:paraId="27B5E42C">
            <w:pPr>
              <w:spacing w:line="46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190" w:type="dxa"/>
            <w:vAlign w:val="center"/>
          </w:tcPr>
          <w:p w14:paraId="3755C33C">
            <w:pPr>
              <w:spacing w:line="46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227" w:type="dxa"/>
            <w:vAlign w:val="center"/>
          </w:tcPr>
          <w:p w14:paraId="3D5B3780">
            <w:pPr>
              <w:spacing w:line="46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227" w:type="dxa"/>
            <w:vAlign w:val="center"/>
          </w:tcPr>
          <w:p w14:paraId="0AC865C0">
            <w:pPr>
              <w:spacing w:line="46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919" w:type="dxa"/>
            <w:vAlign w:val="center"/>
          </w:tcPr>
          <w:p w14:paraId="10313AFB">
            <w:pPr>
              <w:spacing w:line="46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单价最高限价</w:t>
            </w:r>
          </w:p>
          <w:p w14:paraId="1132B8F0">
            <w:pPr>
              <w:spacing w:line="46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（人民币/元）</w:t>
            </w:r>
          </w:p>
        </w:tc>
        <w:tc>
          <w:tcPr>
            <w:tcW w:w="1725" w:type="dxa"/>
            <w:vAlign w:val="center"/>
          </w:tcPr>
          <w:p w14:paraId="48CB9D7A">
            <w:pPr>
              <w:spacing w:line="46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0E08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38" w:type="dxa"/>
            <w:vAlign w:val="center"/>
          </w:tcPr>
          <w:p w14:paraId="1EEB8B85">
            <w:pPr>
              <w:spacing w:line="46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90" w:type="dxa"/>
            <w:vAlign w:val="center"/>
          </w:tcPr>
          <w:p w14:paraId="293AD9FA">
            <w:pPr>
              <w:pStyle w:val="4"/>
              <w:spacing w:before="0" w:beforeAutospacing="0" w:after="0" w:afterAutospacing="0" w:line="460" w:lineRule="exact"/>
              <w:jc w:val="center"/>
              <w:rPr>
                <w:rFonts w:hint="eastAsia"/>
                <w:spacing w:val="-14"/>
              </w:rPr>
            </w:pPr>
            <w:r>
              <w:rPr>
                <w:rFonts w:hint="eastAsia"/>
                <w:spacing w:val="-14"/>
              </w:rPr>
              <w:t>原子吸收分光光度计</w:t>
            </w:r>
          </w:p>
        </w:tc>
        <w:tc>
          <w:tcPr>
            <w:tcW w:w="1227" w:type="dxa"/>
            <w:vAlign w:val="center"/>
          </w:tcPr>
          <w:p w14:paraId="161C054B">
            <w:pPr>
              <w:spacing w:line="460" w:lineRule="exact"/>
              <w:jc w:val="center"/>
              <w:rPr>
                <w:rFonts w:hint="eastAsia" w:ascii="宋体" w:hAnsi="宋体" w:cs="宋体"/>
                <w:spacing w:val="-14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14"/>
                <w:kern w:val="0"/>
                <w:sz w:val="24"/>
                <w:szCs w:val="24"/>
              </w:rPr>
              <w:t>1</w:t>
            </w:r>
          </w:p>
        </w:tc>
        <w:tc>
          <w:tcPr>
            <w:tcW w:w="1227" w:type="dxa"/>
            <w:vAlign w:val="center"/>
          </w:tcPr>
          <w:p w14:paraId="05BC3683">
            <w:pPr>
              <w:spacing w:line="4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1919" w:type="dxa"/>
            <w:vAlign w:val="center"/>
          </w:tcPr>
          <w:p w14:paraId="4B915599">
            <w:pPr>
              <w:spacing w:line="460" w:lineRule="exact"/>
              <w:jc w:val="center"/>
              <w:rPr>
                <w:rFonts w:hint="eastAsia" w:ascii="宋体" w:hAnsi="宋体" w:cs="宋体"/>
                <w:color w:val="333333"/>
                <w:spacing w:val="-14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-14"/>
                <w:sz w:val="24"/>
                <w:szCs w:val="24"/>
              </w:rPr>
              <w:t>295933.33</w:t>
            </w:r>
          </w:p>
        </w:tc>
        <w:tc>
          <w:tcPr>
            <w:tcW w:w="1725" w:type="dxa"/>
            <w:vAlign w:val="center"/>
          </w:tcPr>
          <w:p w14:paraId="4F5C3F26">
            <w:pPr>
              <w:spacing w:line="46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/</w:t>
            </w:r>
          </w:p>
        </w:tc>
      </w:tr>
    </w:tbl>
    <w:p w14:paraId="51B6BC7D">
      <w:bookmarkStart w:id="7" w:name="_Toc14645"/>
      <w:bookmarkStart w:id="8" w:name="_Toc18304"/>
    </w:p>
    <w:p w14:paraId="0CDDE608">
      <w:pPr>
        <w:pStyle w:val="2"/>
        <w:spacing w:before="0" w:after="0"/>
        <w:rPr>
          <w:rFonts w:hint="eastAsia" w:ascii="宋体" w:hAnsi="宋体"/>
          <w:color w:val="000000"/>
          <w:sz w:val="28"/>
          <w:szCs w:val="28"/>
        </w:rPr>
      </w:pPr>
      <w:bookmarkStart w:id="9" w:name="_Toc4666"/>
      <w:r>
        <w:rPr>
          <w:rFonts w:hint="eastAsia" w:ascii="宋体" w:hAnsi="宋体"/>
          <w:color w:val="000000"/>
          <w:sz w:val="28"/>
          <w:szCs w:val="28"/>
        </w:rPr>
        <w:t>二、技术要求</w:t>
      </w:r>
      <w:bookmarkEnd w:id="7"/>
      <w:bookmarkEnd w:id="8"/>
      <w:bookmarkEnd w:id="9"/>
    </w:p>
    <w:bookmarkEnd w:id="5"/>
    <w:bookmarkEnd w:id="6"/>
    <w:tbl>
      <w:tblPr>
        <w:tblStyle w:val="5"/>
        <w:tblW w:w="98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864"/>
        <w:gridCol w:w="7216"/>
      </w:tblGrid>
      <w:tr w14:paraId="1A62C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766" w:type="dxa"/>
            <w:vAlign w:val="center"/>
          </w:tcPr>
          <w:p w14:paraId="3D59A698">
            <w:pPr>
              <w:spacing w:line="46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864" w:type="dxa"/>
            <w:vAlign w:val="center"/>
          </w:tcPr>
          <w:p w14:paraId="1A0F7493">
            <w:pPr>
              <w:spacing w:line="46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7216" w:type="dxa"/>
            <w:vAlign w:val="center"/>
          </w:tcPr>
          <w:p w14:paraId="79CE43EE">
            <w:pPr>
              <w:spacing w:line="46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技术参数要求</w:t>
            </w:r>
          </w:p>
        </w:tc>
      </w:tr>
      <w:tr w14:paraId="33422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66" w:type="dxa"/>
            <w:vAlign w:val="center"/>
          </w:tcPr>
          <w:p w14:paraId="7AFA5D4B">
            <w:pPr>
              <w:spacing w:line="46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  <w:vAlign w:val="center"/>
          </w:tcPr>
          <w:p w14:paraId="3A1CBE20">
            <w:pPr>
              <w:pStyle w:val="4"/>
              <w:spacing w:before="0" w:beforeAutospacing="0" w:after="0" w:afterAutospacing="0" w:line="460" w:lineRule="exact"/>
              <w:jc w:val="center"/>
              <w:rPr>
                <w:rFonts w:hint="eastAsia"/>
                <w:color w:val="333333"/>
                <w:spacing w:val="-14"/>
                <w:highlight w:val="yellow"/>
              </w:rPr>
            </w:pPr>
            <w:r>
              <w:rPr>
                <w:rFonts w:hint="eastAsia"/>
                <w:spacing w:val="-14"/>
              </w:rPr>
              <w:t>原子吸收分光光度计</w:t>
            </w:r>
          </w:p>
        </w:tc>
        <w:tc>
          <w:tcPr>
            <w:tcW w:w="7216" w:type="dxa"/>
            <w:vAlign w:val="center"/>
          </w:tcPr>
          <w:p w14:paraId="381E0345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1、技术指标 </w:t>
            </w:r>
          </w:p>
          <w:p w14:paraId="766315EF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1.1波长范围：190 nm～900nm； </w:t>
            </w:r>
          </w:p>
          <w:p w14:paraId="6DF9DB58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1.2波长重复性：≤0.1nm；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示值误差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≤±0.1nm </w:t>
            </w:r>
          </w:p>
          <w:p w14:paraId="53403239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1.3光谱带宽偏差：≤±0.02nm；</w:t>
            </w:r>
          </w:p>
          <w:p w14:paraId="5EC76C1A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1.4光谱带宽：0.1、0.2、0.4、0.7、1.0、1.6nm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2.0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nm；</w:t>
            </w:r>
          </w:p>
          <w:p w14:paraId="4D670889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1.5火焰法及石墨炉法背景校正能力：≥65 倍； </w:t>
            </w:r>
          </w:p>
          <w:p w14:paraId="7B0F48B5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1.6单色器：Czerny-turner 型光路设计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；</w:t>
            </w:r>
          </w:p>
          <w:p w14:paraId="66009D87">
            <w:pPr>
              <w:widowControl/>
              <w:spacing w:line="360" w:lineRule="auto"/>
              <w:jc w:val="left"/>
              <w:rPr>
                <w:b/>
                <w:bCs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1.7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检出限：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石墨炉（Cd）≤0.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pg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火焰（Cu）≤0.00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μg/mL，</w:t>
            </w:r>
          </w:p>
          <w:p w14:paraId="3EC67513"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1.8重复性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RSD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石墨炉（Cd）≤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0.8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%；火焰（Cu）≤0.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%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;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发射法（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Na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  <w:p w14:paraId="6E74E1BE">
            <w:pPr>
              <w:widowControl/>
              <w:spacing w:line="360" w:lineRule="auto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1.9基线漂移：0.002A/30min</w:t>
            </w:r>
          </w:p>
          <w:p w14:paraId="7D9DFE20">
            <w:pPr>
              <w:widowControl/>
              <w:spacing w:line="360" w:lineRule="auto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2、性能要求 </w:t>
            </w:r>
          </w:p>
          <w:p w14:paraId="50B12761">
            <w:pPr>
              <w:widowControl/>
              <w:jc w:val="left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2.1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采用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火焰、石墨炉串联式一体机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设计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；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响应文件中提供仪器整机图片加盖供应商公章佐证，否则响应无效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）</w:t>
            </w:r>
          </w:p>
          <w:p w14:paraId="4E99D483">
            <w:pPr>
              <w:widowControl/>
              <w:jc w:val="left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2.2双光源设计，火焰和石墨炉各自拥有独立的光源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；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元素灯自动识别。</w:t>
            </w:r>
          </w:p>
          <w:p w14:paraId="19E561DC">
            <w:pPr>
              <w:widowControl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2.3采用双氘灯背景校正技术，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石墨炉法和火焰法不共用氘灯。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 xml:space="preserve"> </w:t>
            </w:r>
          </w:p>
          <w:p w14:paraId="5A85328F">
            <w:pPr>
              <w:widowControl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2.4火焰和石墨炉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分析方法选择时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无需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机械切换，自动进样器无需移动，软件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 xml:space="preserve">自动匹配相关配置和仪器条件； </w:t>
            </w:r>
          </w:p>
          <w:p w14:paraId="06531E2B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 xml:space="preserve">2.5单台主机配置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≥16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个灯位；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响应文件中提供仪器灯位图片加盖供应商公章佐证，否则响应无效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）</w:t>
            </w:r>
          </w:p>
          <w:p w14:paraId="29295187">
            <w:pPr>
              <w:widowControl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2.6仪器可实现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≥8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个元素灯同时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点亮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 xml:space="preserve">预热； </w:t>
            </w:r>
          </w:p>
          <w:p w14:paraId="797B3069">
            <w:pPr>
              <w:widowControl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2.7具有开机自检、自动狭缝、自动定峰、自动灯位等功能；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火焰法、石墨炉法、发射法、自吸收法、氢化物发生法，自动切换。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 xml:space="preserve"> </w:t>
            </w:r>
          </w:p>
          <w:p w14:paraId="367C9C95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2.8能量自动平衡技术，具有D2能量自动衰减器，确保在最佳使用范围内匹配阴极灯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</w:p>
          <w:p w14:paraId="3AC37A8D"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一体化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主机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设计，石墨炉电源内置主机内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，不采用分体设计。</w:t>
            </w:r>
          </w:p>
          <w:p w14:paraId="70FA3948"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2.10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具有火焰发射功能，可对易电离的金属元素进行发射法测量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03A77C49">
            <w:pPr>
              <w:widowControl/>
              <w:jc w:val="left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2.11可进行氢化物发生法，对低含量砷汞硒等进行检测。</w:t>
            </w:r>
          </w:p>
          <w:p w14:paraId="3BFC6366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3、火焰系统 </w:t>
            </w:r>
          </w:p>
          <w:p w14:paraId="5F13D672">
            <w:pPr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3.1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气路设计</w:t>
            </w:r>
          </w:p>
          <w:p w14:paraId="0BE3DA3D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3.1.1仪器采用燃气、助燃气及辅助气三路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气设计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</w:p>
          <w:p w14:paraId="7351402D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3.1.2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辅助气采用比列阀控制，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辅助气流量调节范围0-6L/min;</w:t>
            </w:r>
          </w:p>
          <w:p w14:paraId="59414BB4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3.1.3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燃气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采用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高精度质量流量计，实现燃气流量连续自动可调；</w:t>
            </w:r>
          </w:p>
          <w:p w14:paraId="3AB38E3B">
            <w:pPr>
              <w:spacing w:line="360" w:lineRule="auto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3.1.4助燃气采用气路阀精确控制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流量连续可调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416B0F9F">
            <w:pPr>
              <w:widowControl/>
              <w:spacing w:line="360" w:lineRule="auto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3.2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采用回火式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自动点火，无需额外燃气和控制； </w:t>
            </w:r>
          </w:p>
          <w:p w14:paraId="7B2E7190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3采用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10cm全钛燃烧头； </w:t>
            </w:r>
          </w:p>
          <w:p w14:paraId="73D55DE1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高分子材料雾化腔设计，无记忆、无残留； </w:t>
            </w:r>
          </w:p>
          <w:p w14:paraId="38C2C0C3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5一体化燃烧器旋转锁，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燃烧头可根据灵敏度要求在 0～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90°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范围内任意旋转； </w:t>
            </w:r>
          </w:p>
          <w:p w14:paraId="34632A75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3.6高效玻璃雾化器，灵敏度高，抗腐蚀、易清洗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5CAC37E0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3.7浮磁安全水封</w:t>
            </w:r>
          </w:p>
          <w:p w14:paraId="50B50355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3.7.1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材质：耐腐蚀PP材质；</w:t>
            </w:r>
          </w:p>
          <w:p w14:paraId="6074F462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3.7.2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采用磁性浮子控制，水封无水，禁止点火。</w:t>
            </w:r>
          </w:p>
          <w:p w14:paraId="7007BA83">
            <w:pPr>
              <w:spacing w:line="36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3.7.3浮磁水封装置置于雾化器下方，方便观察。</w:t>
            </w:r>
          </w:p>
          <w:p w14:paraId="676F3234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4、监测系统 </w:t>
            </w:r>
          </w:p>
          <w:p w14:paraId="4CF405B4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4.1安全联锁点火机制，点火前对水封、火焰传感器状况、空气和乙炔气体压力等进行安全检测，任何不正常都会给予提示； </w:t>
            </w:r>
          </w:p>
          <w:p w14:paraId="4934DCDE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4.2具有燃气泄漏报警功能，发现燃气泄漏时予以声音报警和屏幕提示，并自动切断燃气，禁止自动点火； </w:t>
            </w:r>
          </w:p>
          <w:p w14:paraId="22262695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4.3废液溢出检测功能，当废液桶的积液到达一定高度时予以提示；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配置两级在线降解装置，容量不低于5L，内置两种在线处理剂可自动降解废液，液体处理量不低于100mL/min；降解装置配备活性炭颗粒吸附柱；活性炭碘值400-1000mg/g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6F7E04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4.4各种气体自动监测功能，具有空气和燃气压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力的自动监测，任何一路气体压力不够予以提示，并自动关闭燃气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。</w:t>
            </w:r>
          </w:p>
          <w:p w14:paraId="5615DB9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4.5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带有空气缓冲装置，确保空气气流稳定，在意外断电或空气出现意外时，提供一定量的缓冲空气，确保火焰正常熄灭。</w:t>
            </w:r>
          </w:p>
          <w:p w14:paraId="2EBC755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4.6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配备有意外情况紧急熄火按钮</w:t>
            </w:r>
          </w:p>
          <w:p w14:paraId="6D9FF0A3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5、石墨炉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分析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系统 </w:t>
            </w:r>
          </w:p>
          <w:p w14:paraId="3FCF2F7A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5.1带有光控升温和电压反馈温度控制功能；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采用高精度长波红外传感器，检测控制并显示温度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191E2B42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5.2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带有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温度自动校准功能，用户可随时进行温度校正，克服石墨管和石墨锥老化导致的温度差异，保证温度的长期一致性； </w:t>
            </w:r>
          </w:p>
          <w:p w14:paraId="3F58458E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5.3具有最大功率、阶梯、快速三种升温模式，可根据所测元素选择最优的升温模式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最大功率升温时首先对设定的原子化温度进行校正，确保每次测量时的原子化温度相同； </w:t>
            </w:r>
          </w:p>
          <w:p w14:paraId="6DF77083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5.4可视化系统，通过电脑屏幕可在线显示石墨炉进样和原子化全过程，进样针位置调节直观、方便； </w:t>
            </w:r>
          </w:p>
          <w:p w14:paraId="4859E15E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5.5纵向加热方式，升温速度快，温度范围为室温～3200℃； </w:t>
            </w:r>
          </w:p>
          <w:p w14:paraId="3E35A02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5.6石墨炉电源内置，带有精准的光控升温和温度校准功能，具有炉体过温报警、气体压力过低报警、石墨管断裂或未夹紧报警等安全设计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。</w:t>
            </w:r>
          </w:p>
          <w:p w14:paraId="7FBBD98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5.7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内气采用质量流量计，流量连续自动可调。</w:t>
            </w:r>
          </w:p>
          <w:p w14:paraId="670CBB06">
            <w:pPr>
              <w:widowControl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6、可升级石墨炉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法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自动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进样系统</w:t>
            </w:r>
          </w:p>
          <w:p w14:paraId="1C017D17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6.1配备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单个样品盘≥84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位自动进样器，带有多个基体改进剂位置； </w:t>
            </w:r>
          </w:p>
          <w:p w14:paraId="6D066F59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6.2双注射泵，自动清洗，垂直进样； </w:t>
            </w:r>
          </w:p>
          <w:p w14:paraId="35F0B6E4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6.3具有自动稀释、自动浓缩功能，最小进样量2μL，可实现单点曲线自动配置； </w:t>
            </w:r>
          </w:p>
          <w:p w14:paraId="76415136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6.4 a注射泵体积:≤100μL ；a注射泵进样范围:2-100μL；</w:t>
            </w:r>
          </w:p>
          <w:p w14:paraId="2E45EC5A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6.5 b注射泵体积:≤2500μL；b射泵进样范围:0-2500μL；</w:t>
            </w:r>
          </w:p>
          <w:p w14:paraId="507C373B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6.6清洗瓶容积: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≥500mL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6AD4CF0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6.7样品稀释倍数: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≥50倍</w:t>
            </w:r>
          </w:p>
          <w:p w14:paraId="287B878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6.8火焰/石墨炉一体化进样器</w:t>
            </w:r>
          </w:p>
          <w:p w14:paraId="72DA35BD">
            <w:pPr>
              <w:widowControl/>
              <w:jc w:val="left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6.9</w:t>
            </w:r>
            <w:r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液面追踪功能的液面探测进样针。进样针随着液面的下降而同步下降，在保证吸液正常的前提下，最大程度地降低进样针与液体的接触面积，从而进一步降低记忆效应。</w:t>
            </w:r>
          </w:p>
          <w:p w14:paraId="561DA8B6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7、软件及数据处理 </w:t>
            </w:r>
          </w:p>
          <w:p w14:paraId="03AC6697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7.1具有GMP功能，便于追溯； </w:t>
            </w:r>
          </w:p>
          <w:p w14:paraId="56E55A78">
            <w:pPr>
              <w:widowControl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7.2人性化智能软件，按所选元素自动推荐仪器参数及程序升温参数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；</w:t>
            </w:r>
          </w:p>
          <w:p w14:paraId="13073115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7.3具有自动稀释、浓缩功能，可实现标准曲线、标准加入等多种测量方式； </w:t>
            </w:r>
          </w:p>
          <w:p w14:paraId="71DB86BE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7.4峰高和峰面积可随意转换； </w:t>
            </w:r>
          </w:p>
          <w:p w14:paraId="09BFC63E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7.5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具有谱线库维护功能，可任意添加和修订元素的测量谱线，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具有多校准曲线功能，可根据样品含量选择不同的校正曲线； </w:t>
            </w:r>
          </w:p>
          <w:p w14:paraId="617D4EC0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7.6具有多个样品空白，样品可随时并任意选择空白和校正曲线； </w:t>
            </w:r>
          </w:p>
          <w:p w14:paraId="03D5F10B">
            <w:pPr>
              <w:widowControl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7.7石墨炉法实现单点自动配置标准曲线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；</w:t>
            </w:r>
          </w:p>
          <w:p w14:paraId="478CBBF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7.8个性化打印分析报告：支持参数打印、曲线打印、测定结果打印、谱图打印、综合报告打印、精密度报告打印、检出限报告打印，测试数据可以 Excel、PDF 等形式直接导出。</w:t>
            </w:r>
          </w:p>
          <w:p w14:paraId="60BC6B8F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冷却循环水机 </w:t>
            </w:r>
          </w:p>
          <w:p w14:paraId="08CD3855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8.1制冷量：≥1.4kW；</w:t>
            </w:r>
          </w:p>
          <w:p w14:paraId="75601418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8.2控温精度：≤±0.3℃； </w:t>
            </w:r>
          </w:p>
          <w:p w14:paraId="1E21F6F7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8.3水泵最大流量：23L/min； </w:t>
            </w:r>
          </w:p>
          <w:p w14:paraId="7E003850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8.4水泵最大扬程：15M； </w:t>
            </w:r>
          </w:p>
          <w:p w14:paraId="6FB963BA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8.5水箱容积：≥6L； </w:t>
            </w:r>
          </w:p>
          <w:p w14:paraId="27DA00BE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8.6过滤装置：过滤10μm大颗粒； </w:t>
            </w:r>
          </w:p>
          <w:p w14:paraId="77DE8964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9、仪器配置要求 </w:t>
            </w:r>
          </w:p>
          <w:p w14:paraId="317EDC3E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9.1火焰石墨炉原子吸收主机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台； </w:t>
            </w:r>
          </w:p>
          <w:p w14:paraId="3B67311B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9.2空气压缩机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台； </w:t>
            </w:r>
          </w:p>
          <w:p w14:paraId="44940750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9.3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石墨管10支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； </w:t>
            </w:r>
          </w:p>
          <w:p w14:paraId="01A2014F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9.4冷却循环水机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台； </w:t>
            </w:r>
          </w:p>
          <w:p w14:paraId="795858E3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9.5元素灯12支； </w:t>
            </w:r>
          </w:p>
          <w:p w14:paraId="127811EC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9.6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圆形发热片2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套； </w:t>
            </w:r>
          </w:p>
          <w:p w14:paraId="2A5340D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9.7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乙炔回火防止器1个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；</w:t>
            </w:r>
          </w:p>
          <w:p w14:paraId="55366AC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9.8工具包1套</w:t>
            </w:r>
          </w:p>
          <w:p w14:paraId="2CBED2D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9.9石墨管安装工具1个</w:t>
            </w:r>
          </w:p>
          <w:p w14:paraId="56BB958A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9.10仪器罩1个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0CECF378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数据处理系统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套；</w:t>
            </w:r>
          </w:p>
        </w:tc>
      </w:tr>
    </w:tbl>
    <w:p w14:paraId="2F40841A">
      <w:pPr>
        <w:spacing w:line="460" w:lineRule="exact"/>
        <w:rPr>
          <w:rFonts w:hint="eastAsia" w:ascii="宋体" w:hAnsi="宋体" w:cs="宋体"/>
          <w:b/>
          <w:bCs/>
          <w:color w:val="000000"/>
          <w:spacing w:val="2"/>
          <w:kern w:val="0"/>
          <w:sz w:val="24"/>
        </w:rPr>
      </w:pPr>
    </w:p>
    <w:p w14:paraId="399CE07E">
      <w:pPr>
        <w:pStyle w:val="3"/>
        <w:ind w:firstLine="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注：以上“技术要求”为实质性要求，必须完全满足，否则响应无效。</w:t>
      </w:r>
    </w:p>
    <w:p w14:paraId="598E9D98">
      <w:bookmarkStart w:id="10" w:name="_GoBack"/>
      <w:bookmarkEnd w:id="1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A4849"/>
    <w:rsid w:val="452A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500" w:lineRule="exact"/>
      <w:jc w:val="center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2026-06-23T07:48:00Z</dcterms:created>
  <dc:creator>包泽宁</dc:creator>
  <cp:lastModifiedBy>包泽宁</cp:lastModifiedBy>
  <dcterms:modified xsi:type="dcterms:W3CDTF">2026-06-23T07:48:55Z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7CB0C701BE5D4BC6B74630B23CD0B484_11</vt:lpwstr>
  </property>
  <property fmtid="{D5CDD505-2E9C-101B-9397-08002B2CF9AE}" pid="4" name="KSOTemplateDocerSaveRecord">
    <vt:lpwstr>eyJoZGlkIjoiYzZlNTk0ZGE0NTJlNTIyMjhmNWIzMDM4NWQ1MmNkNjgiLCJ1c2VySWQiOiIyODQ3NjAxNjYifQ==</vt:lpwstr>
  </property>
</Properties>
</file>