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076DC">
      <w:pPr>
        <w:spacing w:after="360" w:line="500" w:lineRule="exact"/>
        <w:jc w:val="center"/>
        <w:rPr>
          <w:b/>
          <w:color w:val="auto"/>
          <w:sz w:val="72"/>
          <w:szCs w:val="72"/>
        </w:rPr>
      </w:pPr>
      <w:r>
        <w:rPr>
          <w:rFonts w:hint="eastAsia"/>
          <w:b/>
          <w:sz w:val="44"/>
          <w:szCs w:val="44"/>
        </w:rPr>
        <w:t>江西赣能股份有限公司丰城发电厂</w:t>
      </w:r>
      <w:bookmarkStart w:id="0" w:name="_Hlk220398405"/>
      <w:r>
        <w:rPr>
          <w:rFonts w:hint="eastAsia"/>
          <w:b/>
          <w:color w:val="auto"/>
          <w:sz w:val="44"/>
          <w:szCs w:val="44"/>
        </w:rPr>
        <w:t>脱硫石膏</w:t>
      </w:r>
      <w:r>
        <w:rPr>
          <w:rFonts w:hint="eastAsia"/>
          <w:b/>
          <w:color w:val="auto"/>
          <w:sz w:val="44"/>
          <w:szCs w:val="44"/>
          <w:lang w:val="en-US" w:eastAsia="zh-CN"/>
        </w:rPr>
        <w:t>临时运输业务外包服务</w:t>
      </w:r>
      <w:bookmarkEnd w:id="0"/>
      <w:r>
        <w:rPr>
          <w:rFonts w:hint="eastAsia"/>
          <w:b/>
          <w:color w:val="auto"/>
          <w:sz w:val="44"/>
          <w:szCs w:val="44"/>
        </w:rPr>
        <w:t>项目</w:t>
      </w:r>
    </w:p>
    <w:p w14:paraId="6A71DE4D">
      <w:pPr>
        <w:pStyle w:val="13"/>
        <w:jc w:val="center"/>
        <w:rPr>
          <w:rFonts w:hint="default" w:eastAsia="宋体"/>
          <w:b/>
          <w:sz w:val="72"/>
          <w:szCs w:val="72"/>
          <w:lang w:val="en-US" w:eastAsia="zh-CN"/>
        </w:rPr>
      </w:pPr>
      <w:r>
        <w:rPr>
          <w:rFonts w:hint="eastAsia"/>
          <w:b/>
          <w:sz w:val="72"/>
          <w:szCs w:val="72"/>
        </w:rPr>
        <w:t>技术</w:t>
      </w:r>
      <w:r>
        <w:rPr>
          <w:rFonts w:hint="eastAsia"/>
          <w:b/>
          <w:sz w:val="72"/>
          <w:szCs w:val="72"/>
          <w:lang w:val="en-US" w:eastAsia="zh-CN"/>
        </w:rPr>
        <w:t>规范</w:t>
      </w:r>
    </w:p>
    <w:p w14:paraId="02A1E80F">
      <w:pPr>
        <w:tabs>
          <w:tab w:val="left" w:pos="482"/>
        </w:tabs>
        <w:snapToGrid w:val="0"/>
        <w:spacing w:line="360" w:lineRule="auto"/>
        <w:jc w:val="center"/>
        <w:rPr>
          <w:b/>
        </w:rPr>
      </w:pPr>
    </w:p>
    <w:p w14:paraId="1902F5A6">
      <w:pPr>
        <w:tabs>
          <w:tab w:val="left" w:pos="482"/>
        </w:tabs>
        <w:snapToGrid w:val="0"/>
        <w:spacing w:line="360" w:lineRule="auto"/>
        <w:jc w:val="center"/>
        <w:rPr>
          <w:b/>
        </w:rPr>
      </w:pPr>
    </w:p>
    <w:p w14:paraId="4B1CF9C4">
      <w:pPr>
        <w:tabs>
          <w:tab w:val="left" w:pos="482"/>
        </w:tabs>
        <w:snapToGrid w:val="0"/>
        <w:spacing w:line="360" w:lineRule="auto"/>
        <w:jc w:val="center"/>
        <w:rPr>
          <w:b/>
        </w:rPr>
      </w:pPr>
    </w:p>
    <w:p w14:paraId="44BA9378">
      <w:pPr>
        <w:spacing w:line="360" w:lineRule="auto"/>
        <w:jc w:val="center"/>
        <w:rPr>
          <w:b/>
          <w:bCs/>
        </w:rPr>
      </w:pPr>
    </w:p>
    <w:p w14:paraId="7CB0FA45">
      <w:pPr>
        <w:spacing w:line="360" w:lineRule="auto"/>
        <w:jc w:val="center"/>
        <w:rPr>
          <w:b/>
          <w:bCs/>
        </w:rPr>
      </w:pPr>
    </w:p>
    <w:p w14:paraId="31448AED">
      <w:pPr>
        <w:spacing w:line="360" w:lineRule="auto"/>
        <w:rPr>
          <w:b/>
          <w:bCs/>
          <w:sz w:val="44"/>
          <w:szCs w:val="44"/>
        </w:rPr>
      </w:pPr>
    </w:p>
    <w:p w14:paraId="26A14E8F">
      <w:pPr>
        <w:pStyle w:val="31"/>
        <w:rPr>
          <w:b/>
          <w:bCs/>
          <w:sz w:val="44"/>
          <w:szCs w:val="44"/>
        </w:rPr>
      </w:pPr>
    </w:p>
    <w:p w14:paraId="44FCB1E9">
      <w:pPr>
        <w:pStyle w:val="31"/>
        <w:rPr>
          <w:b/>
          <w:bCs/>
          <w:sz w:val="44"/>
          <w:szCs w:val="44"/>
        </w:rPr>
      </w:pPr>
    </w:p>
    <w:p w14:paraId="58B38F2C">
      <w:pPr>
        <w:pStyle w:val="31"/>
        <w:rPr>
          <w:b/>
          <w:bCs/>
          <w:sz w:val="44"/>
          <w:szCs w:val="44"/>
        </w:rPr>
      </w:pPr>
    </w:p>
    <w:p w14:paraId="138C6F37">
      <w:pPr>
        <w:pStyle w:val="31"/>
        <w:rPr>
          <w:b/>
          <w:bCs/>
          <w:sz w:val="44"/>
          <w:szCs w:val="44"/>
        </w:rPr>
      </w:pPr>
    </w:p>
    <w:p w14:paraId="39B31856">
      <w:pPr>
        <w:pStyle w:val="31"/>
        <w:rPr>
          <w:b/>
          <w:bCs/>
          <w:sz w:val="44"/>
          <w:szCs w:val="44"/>
        </w:rPr>
      </w:pPr>
    </w:p>
    <w:p w14:paraId="6B595597">
      <w:pPr>
        <w:spacing w:line="360" w:lineRule="auto"/>
        <w:rPr>
          <w:b/>
          <w:bCs/>
          <w:sz w:val="44"/>
          <w:szCs w:val="44"/>
        </w:rPr>
      </w:pPr>
    </w:p>
    <w:p w14:paraId="65269C96">
      <w:pPr>
        <w:spacing w:line="360" w:lineRule="auto"/>
        <w:rPr>
          <w:b/>
          <w:bCs/>
          <w:sz w:val="44"/>
          <w:szCs w:val="44"/>
        </w:rPr>
      </w:pPr>
    </w:p>
    <w:p w14:paraId="34FA8F58">
      <w:pPr>
        <w:spacing w:line="360" w:lineRule="auto"/>
        <w:rPr>
          <w:b/>
          <w:bCs/>
          <w:sz w:val="44"/>
          <w:szCs w:val="44"/>
        </w:rPr>
      </w:pPr>
    </w:p>
    <w:p w14:paraId="073AF47D">
      <w:pPr>
        <w:spacing w:line="360" w:lineRule="auto"/>
        <w:jc w:val="center"/>
        <w:rPr>
          <w:b/>
          <w:bCs/>
          <w:color w:val="auto"/>
          <w:sz w:val="44"/>
          <w:szCs w:val="44"/>
        </w:rPr>
      </w:pPr>
      <w:r>
        <w:rPr>
          <w:b/>
          <w:bCs/>
          <w:color w:val="auto"/>
          <w:sz w:val="44"/>
          <w:szCs w:val="44"/>
        </w:rPr>
        <w:t>二〇</w:t>
      </w:r>
      <w:r>
        <w:rPr>
          <w:rFonts w:hint="eastAsia"/>
          <w:b/>
          <w:bCs/>
          <w:color w:val="auto"/>
          <w:sz w:val="44"/>
          <w:szCs w:val="44"/>
        </w:rPr>
        <w:t>二六</w:t>
      </w:r>
      <w:r>
        <w:rPr>
          <w:b/>
          <w:bCs/>
          <w:color w:val="auto"/>
          <w:sz w:val="44"/>
          <w:szCs w:val="44"/>
        </w:rPr>
        <w:t>年</w:t>
      </w:r>
      <w:r>
        <w:rPr>
          <w:rFonts w:hint="eastAsia"/>
          <w:b/>
          <w:bCs/>
          <w:color w:val="auto"/>
          <w:sz w:val="44"/>
          <w:szCs w:val="44"/>
          <w:lang w:val="en-US" w:eastAsia="zh-CN"/>
        </w:rPr>
        <w:t>六</w:t>
      </w:r>
      <w:r>
        <w:rPr>
          <w:b/>
          <w:bCs/>
          <w:color w:val="auto"/>
          <w:sz w:val="44"/>
          <w:szCs w:val="44"/>
        </w:rPr>
        <w:t>月</w:t>
      </w:r>
    </w:p>
    <w:p w14:paraId="576E23DA">
      <w:pPr>
        <w:autoSpaceDE w:val="0"/>
        <w:autoSpaceDN w:val="0"/>
        <w:jc w:val="center"/>
        <w:rPr>
          <w:rFonts w:hint="eastAsia" w:ascii="宋体" w:hAnsi="宋体"/>
          <w:b/>
          <w:sz w:val="36"/>
          <w:szCs w:val="36"/>
        </w:rPr>
      </w:pPr>
    </w:p>
    <w:p w14:paraId="08E7D1BF">
      <w:pPr>
        <w:ind w:left="105" w:hanging="105"/>
        <w:jc w:val="center"/>
        <w:rPr>
          <w:rFonts w:hint="eastAsia" w:ascii="宋体" w:hAnsi="宋体"/>
          <w:b/>
          <w:sz w:val="36"/>
          <w:szCs w:val="36"/>
        </w:rPr>
      </w:pPr>
    </w:p>
    <w:p w14:paraId="70189161">
      <w:pPr>
        <w:spacing w:line="360" w:lineRule="auto"/>
        <w:ind w:firstLine="0" w:firstLineChars="0"/>
        <w:jc w:val="both"/>
        <w:rPr>
          <w:rFonts w:hint="eastAsia" w:ascii="宋体" w:hAnsi="宋体" w:eastAsia="宋体"/>
          <w:b/>
          <w:sz w:val="30"/>
          <w:szCs w:val="30"/>
          <w:lang w:eastAsia="zh-CN"/>
        </w:rPr>
        <w:sectPr>
          <w:headerReference r:id="rId3" w:type="default"/>
          <w:footerReference r:id="rId4" w:type="default"/>
          <w:pgSz w:w="11906" w:h="16838"/>
          <w:pgMar w:top="1418" w:right="1418" w:bottom="1418" w:left="1418" w:header="851" w:footer="851" w:gutter="0"/>
          <w:cols w:space="720" w:num="1"/>
          <w:docGrid w:linePitch="312" w:charSpace="0"/>
        </w:sectPr>
      </w:pPr>
    </w:p>
    <w:p w14:paraId="0F1AEB78">
      <w:pPr>
        <w:adjustRightInd w:val="0"/>
        <w:snapToGrid w:val="0"/>
        <w:spacing w:line="360" w:lineRule="auto"/>
        <w:rPr>
          <w:rFonts w:hint="eastAsia" w:ascii="宋体" w:hAnsi="宋体"/>
          <w:b/>
          <w:bCs/>
        </w:rPr>
      </w:pPr>
      <w:r>
        <w:rPr>
          <w:rFonts w:hint="eastAsia" w:ascii="宋体" w:hAnsi="宋体"/>
          <w:b/>
          <w:bCs/>
        </w:rPr>
        <w:t>1、总则</w:t>
      </w:r>
    </w:p>
    <w:p w14:paraId="656AEDC7">
      <w:pPr>
        <w:spacing w:line="360" w:lineRule="auto"/>
        <w:rPr>
          <w:rFonts w:hint="eastAsia" w:ascii="宋体" w:hAnsi="宋体" w:cs="宋体"/>
        </w:rPr>
      </w:pPr>
      <w:r>
        <w:rPr>
          <w:rFonts w:hint="eastAsia" w:ascii="宋体" w:hAnsi="宋体" w:cs="宋体"/>
        </w:rPr>
        <w:t>1.1本技术规范适用于江西赣能股份有限公司丰城发电厂（以下简称赣能股份丰城发电厂）燃煤机组脱硫石膏运输业务外包服务采购项目，它提出了脱硫石膏等方面的要求。</w:t>
      </w:r>
    </w:p>
    <w:p w14:paraId="4652B8A7">
      <w:pPr>
        <w:spacing w:line="360" w:lineRule="auto"/>
        <w:rPr>
          <w:rFonts w:hint="eastAsia" w:ascii="宋体" w:hAnsi="宋体"/>
        </w:rPr>
      </w:pPr>
      <w:r>
        <w:rPr>
          <w:rFonts w:hint="eastAsia" w:ascii="宋体" w:hAnsi="宋体"/>
        </w:rPr>
        <w:t>1.2</w:t>
      </w:r>
      <w:r>
        <w:rPr>
          <w:rFonts w:ascii="宋体" w:hAnsi="宋体"/>
        </w:rPr>
        <w:t>本</w:t>
      </w:r>
      <w:r>
        <w:rPr>
          <w:rFonts w:hint="eastAsia" w:ascii="宋体" w:hAnsi="宋体"/>
        </w:rPr>
        <w:t>技术规范</w:t>
      </w:r>
      <w:r>
        <w:rPr>
          <w:rFonts w:ascii="宋体" w:hAnsi="宋体"/>
        </w:rPr>
        <w:t>中提出了最低的</w:t>
      </w:r>
      <w:r>
        <w:rPr>
          <w:rFonts w:hint="eastAsia" w:ascii="宋体" w:hAnsi="宋体"/>
        </w:rPr>
        <w:t>有关</w:t>
      </w:r>
      <w:r>
        <w:rPr>
          <w:rFonts w:ascii="宋体" w:hAnsi="宋体"/>
        </w:rPr>
        <w:t>要求，</w:t>
      </w:r>
      <w:r>
        <w:rPr>
          <w:rFonts w:hint="eastAsia" w:ascii="宋体" w:hAnsi="宋体"/>
        </w:rPr>
        <w:t>投标方可以</w:t>
      </w:r>
      <w:r>
        <w:rPr>
          <w:rFonts w:ascii="宋体" w:hAnsi="宋体"/>
        </w:rPr>
        <w:t>提供满足本</w:t>
      </w:r>
      <w:r>
        <w:rPr>
          <w:rFonts w:hint="eastAsia" w:ascii="宋体" w:hAnsi="宋体"/>
        </w:rPr>
        <w:t>项目的更高标准要求；投标方必须满足</w:t>
      </w:r>
      <w:r>
        <w:rPr>
          <w:rFonts w:ascii="宋体" w:hAnsi="宋体"/>
        </w:rPr>
        <w:t>国家有关安全、消防、环保等强制性标准</w:t>
      </w:r>
      <w:r>
        <w:rPr>
          <w:rFonts w:hint="eastAsia" w:ascii="宋体" w:hAnsi="宋体"/>
        </w:rPr>
        <w:t>。</w:t>
      </w:r>
    </w:p>
    <w:p w14:paraId="5A0933E1">
      <w:pPr>
        <w:spacing w:line="360" w:lineRule="auto"/>
        <w:rPr>
          <w:rFonts w:hint="eastAsia" w:ascii="宋体" w:hAnsi="宋体"/>
        </w:rPr>
      </w:pPr>
      <w:r>
        <w:rPr>
          <w:rFonts w:hint="eastAsia" w:ascii="宋体" w:hAnsi="宋体"/>
        </w:rPr>
        <w:t>1.3投标方必须具备石膏运输相关资质，并提供相关资质证书等证明文件。</w:t>
      </w:r>
    </w:p>
    <w:p w14:paraId="06AD4F42">
      <w:pPr>
        <w:spacing w:line="360" w:lineRule="auto"/>
        <w:rPr>
          <w:rFonts w:hint="eastAsia" w:ascii="宋体" w:hAnsi="宋体"/>
        </w:rPr>
      </w:pPr>
      <w:r>
        <w:rPr>
          <w:rFonts w:hint="eastAsia" w:ascii="宋体" w:hAnsi="宋体"/>
        </w:rPr>
        <w:t>1.4投标方运输车辆在满足运距的需求下应优先使用清洁运输方式，所有运输车辆必须为达标车辆，满足中华人民共和国国家生态环境标准。</w:t>
      </w:r>
    </w:p>
    <w:p w14:paraId="0E64929D">
      <w:pPr>
        <w:spacing w:line="360" w:lineRule="auto"/>
        <w:rPr>
          <w:rFonts w:hint="eastAsia" w:ascii="宋体" w:hAnsi="宋体"/>
        </w:rPr>
      </w:pPr>
      <w:r>
        <w:rPr>
          <w:rFonts w:hint="eastAsia" w:ascii="宋体" w:hAnsi="宋体"/>
        </w:rPr>
        <w:t>1.5投标方必须执行国家和行业相关的标准、规范，同时严格执行招标方的各项管理制度。招标方有权对投标方在违反标准、规范、管理制度时进行经济考核。</w:t>
      </w:r>
    </w:p>
    <w:p w14:paraId="56469452">
      <w:pPr>
        <w:spacing w:line="360" w:lineRule="auto"/>
        <w:rPr>
          <w:rFonts w:hint="eastAsia" w:ascii="宋体" w:hAnsi="宋体"/>
        </w:rPr>
      </w:pPr>
      <w:r>
        <w:rPr>
          <w:rFonts w:hint="eastAsia" w:ascii="宋体" w:hAnsi="宋体"/>
        </w:rPr>
        <w:t>1.6投标方签订此技术规范视为进行了现场勘查了解，且完全认可招标方现场目前的现状。</w:t>
      </w:r>
    </w:p>
    <w:p w14:paraId="333488BD">
      <w:pPr>
        <w:spacing w:line="360" w:lineRule="auto"/>
        <w:rPr>
          <w:rFonts w:hint="eastAsia" w:ascii="宋体" w:hAnsi="宋体"/>
        </w:rPr>
      </w:pPr>
      <w:r>
        <w:rPr>
          <w:rFonts w:hint="eastAsia" w:ascii="宋体" w:hAnsi="宋体"/>
        </w:rPr>
        <w:t>1.7本技术规范解释权归招标方，如果本技术规范出现有前后不一致的描述，投标方应在签订前提出澄清，如无澄清，则按招标方解释执行。</w:t>
      </w:r>
    </w:p>
    <w:p w14:paraId="0F3248CE">
      <w:pPr>
        <w:spacing w:line="360" w:lineRule="auto"/>
        <w:rPr>
          <w:rFonts w:hint="eastAsia" w:ascii="宋体" w:hAnsi="宋体"/>
        </w:rPr>
      </w:pPr>
      <w:r>
        <w:rPr>
          <w:rFonts w:hint="eastAsia" w:ascii="宋体" w:hAnsi="宋体"/>
        </w:rPr>
        <w:t>1.8本技术规范经投标方和招标方确认后作为合同的附件，与合同正文具有同等法律效力。</w:t>
      </w:r>
    </w:p>
    <w:p w14:paraId="529FFACD">
      <w:pPr>
        <w:pStyle w:val="20"/>
        <w:tabs>
          <w:tab w:val="left" w:pos="840"/>
          <w:tab w:val="right" w:leader="dot" w:pos="9117"/>
        </w:tabs>
        <w:spacing w:before="120" w:beforeLines="50" w:after="120" w:afterLines="50" w:line="360" w:lineRule="auto"/>
        <w:rPr>
          <w:rFonts w:hint="eastAsia" w:ascii="宋体" w:hAnsi="宋体" w:cs="宋体"/>
          <w:b/>
          <w:bCs/>
        </w:rPr>
      </w:pPr>
      <w:r>
        <w:rPr>
          <w:rFonts w:hint="eastAsia" w:ascii="宋体" w:hAnsi="宋体" w:cs="宋体"/>
          <w:b/>
          <w:bCs/>
        </w:rPr>
        <w:t>2、概述</w:t>
      </w:r>
    </w:p>
    <w:p w14:paraId="5C527164">
      <w:pPr>
        <w:spacing w:before="62" w:line="360" w:lineRule="auto"/>
        <w:rPr>
          <w:rFonts w:hint="eastAsia" w:ascii="宋体" w:hAnsi="宋体"/>
        </w:rPr>
      </w:pPr>
      <w:r>
        <w:rPr>
          <w:rFonts w:hint="eastAsia" w:ascii="宋体" w:hAnsi="宋体"/>
        </w:rPr>
        <w:t>2.1电厂概述</w:t>
      </w:r>
    </w:p>
    <w:p w14:paraId="7BD92ED3">
      <w:pPr>
        <w:spacing w:before="62" w:line="360" w:lineRule="auto"/>
        <w:ind w:firstLine="480" w:firstLineChars="200"/>
        <w:rPr>
          <w:rFonts w:hint="eastAsia" w:ascii="宋体" w:hAnsi="宋体"/>
        </w:rPr>
      </w:pPr>
      <w:r>
        <w:rPr>
          <w:rFonts w:ascii="宋体" w:hAnsi="宋体"/>
        </w:rPr>
        <w:t>赣能股份丰城发电厂</w:t>
      </w:r>
      <w:r>
        <w:rPr>
          <w:rFonts w:hint="eastAsia" w:ascii="宋体" w:hAnsi="宋体"/>
        </w:rPr>
        <w:t>5、6、7、8号共四台机组，其中5、6号机组</w:t>
      </w:r>
      <w:r>
        <w:rPr>
          <w:rFonts w:ascii="宋体" w:hAnsi="宋体"/>
        </w:rPr>
        <w:t>为2</w:t>
      </w:r>
      <w:r>
        <w:rPr>
          <w:rFonts w:hint="eastAsia"/>
        </w:rPr>
        <w:t>×7</w:t>
      </w:r>
      <w:r>
        <w:rPr>
          <w:rFonts w:hint="eastAsia" w:ascii="宋体" w:hAnsi="宋体"/>
        </w:rPr>
        <w:t>00MW超</w:t>
      </w:r>
      <w:r>
        <w:rPr>
          <w:rFonts w:ascii="宋体" w:hAnsi="宋体"/>
        </w:rPr>
        <w:t>临界燃煤发电机组</w:t>
      </w:r>
      <w:r>
        <w:rPr>
          <w:rFonts w:hint="eastAsia" w:ascii="宋体" w:hAnsi="宋体"/>
        </w:rPr>
        <w:t>，7、8号机组</w:t>
      </w:r>
      <w:r>
        <w:rPr>
          <w:rFonts w:ascii="宋体" w:hAnsi="宋体"/>
        </w:rPr>
        <w:t>为2</w:t>
      </w:r>
      <w:r>
        <w:rPr>
          <w:rFonts w:hint="eastAsia"/>
        </w:rPr>
        <w:t>×</w:t>
      </w:r>
      <w:r>
        <w:rPr>
          <w:rFonts w:hint="eastAsia" w:ascii="宋体" w:hAnsi="宋体"/>
        </w:rPr>
        <w:t>1000MW</w:t>
      </w:r>
      <w:r>
        <w:rPr>
          <w:rFonts w:ascii="宋体" w:hAnsi="宋体"/>
        </w:rPr>
        <w:t>超</w:t>
      </w:r>
      <w:r>
        <w:rPr>
          <w:rFonts w:hint="eastAsia" w:ascii="宋体" w:hAnsi="宋体"/>
        </w:rPr>
        <w:t>超</w:t>
      </w:r>
      <w:r>
        <w:rPr>
          <w:rFonts w:ascii="宋体" w:hAnsi="宋体"/>
        </w:rPr>
        <w:t>临界燃煤发电机组</w:t>
      </w:r>
      <w:r>
        <w:rPr>
          <w:rFonts w:hint="eastAsia" w:ascii="宋体" w:hAnsi="宋体"/>
        </w:rPr>
        <w:t>。</w:t>
      </w:r>
    </w:p>
    <w:p w14:paraId="7A6D28B1">
      <w:pPr>
        <w:spacing w:before="62" w:line="360" w:lineRule="auto"/>
        <w:rPr>
          <w:rFonts w:hint="eastAsia" w:ascii="宋体" w:hAnsi="宋体"/>
        </w:rPr>
      </w:pPr>
      <w:r>
        <w:rPr>
          <w:rFonts w:hint="eastAsia" w:ascii="宋体" w:hAnsi="宋体"/>
        </w:rPr>
        <w:t>2.2厂址</w:t>
      </w:r>
    </w:p>
    <w:p w14:paraId="0CFB0D45">
      <w:pPr>
        <w:spacing w:before="62" w:line="360" w:lineRule="auto"/>
        <w:ind w:firstLine="480" w:firstLineChars="200"/>
        <w:rPr>
          <w:rFonts w:hint="eastAsia" w:ascii="宋体" w:hAnsi="宋体"/>
        </w:rPr>
      </w:pPr>
      <w:r>
        <w:rPr>
          <w:rFonts w:hint="eastAsia" w:ascii="宋体" w:hAnsi="宋体"/>
        </w:rPr>
        <w:t>赣能股份</w:t>
      </w:r>
      <w:r>
        <w:rPr>
          <w:rFonts w:ascii="宋体" w:hAnsi="宋体"/>
        </w:rPr>
        <w:t>丰城</w:t>
      </w:r>
      <w:r>
        <w:rPr>
          <w:rFonts w:hint="eastAsia" w:ascii="宋体" w:hAnsi="宋体"/>
        </w:rPr>
        <w:t>发</w:t>
      </w:r>
      <w:r>
        <w:rPr>
          <w:rFonts w:ascii="宋体" w:hAnsi="宋体"/>
        </w:rPr>
        <w:t>电厂位于丰城市西面石上村，厂区距丰城市区8公里，距南昌市约60km，南临赣江约0.5km，东距丰高公路约0.6km，北距丰城水泥厂2.8km</w:t>
      </w:r>
      <w:r>
        <w:rPr>
          <w:rFonts w:hint="eastAsia" w:ascii="宋体" w:hAnsi="宋体"/>
        </w:rPr>
        <w:t>，交通便利</w:t>
      </w:r>
      <w:r>
        <w:rPr>
          <w:rFonts w:ascii="宋体" w:hAnsi="宋体"/>
        </w:rPr>
        <w:t>。</w:t>
      </w:r>
    </w:p>
    <w:p w14:paraId="33ED2EC3">
      <w:pPr>
        <w:spacing w:before="62" w:line="360" w:lineRule="auto"/>
        <w:rPr>
          <w:rFonts w:hint="eastAsia" w:ascii="宋体" w:hAnsi="宋体"/>
          <w:b/>
          <w:bCs/>
        </w:rPr>
      </w:pPr>
      <w:r>
        <w:rPr>
          <w:rFonts w:hint="eastAsia" w:ascii="宋体" w:hAnsi="宋体"/>
          <w:b/>
          <w:bCs/>
        </w:rPr>
        <w:t>3、石膏装卸及运输要求</w:t>
      </w:r>
    </w:p>
    <w:p w14:paraId="1989DE22">
      <w:pPr>
        <w:spacing w:before="62" w:line="360" w:lineRule="auto"/>
        <w:rPr>
          <w:rFonts w:hint="eastAsia" w:ascii="宋体" w:hAnsi="宋体"/>
        </w:rPr>
      </w:pPr>
      <w:r>
        <w:rPr>
          <w:rFonts w:hint="eastAsia" w:ascii="宋体" w:hAnsi="宋体"/>
        </w:rPr>
        <w:t>3.1投标方石膏运输车辆证件、手续齐全有效，随车携带，固定运输车辆要求为环保运输车（密封性能好，防洒漏、渗漏），备有篷布，运输司机必须为专职驾驶员，取得相应驾驶证。投标方拟派的运输队伍须具有道路运输经营许可证，如因无证运输经营等行为产生的所有处罚及给招标方造成的损失均由投标方承担。</w:t>
      </w:r>
    </w:p>
    <w:p w14:paraId="1AB561B2">
      <w:pPr>
        <w:spacing w:before="62" w:line="360" w:lineRule="auto"/>
        <w:rPr>
          <w:rFonts w:hint="eastAsia" w:ascii="宋体" w:hAnsi="宋体"/>
        </w:rPr>
      </w:pPr>
      <w:r>
        <w:rPr>
          <w:rFonts w:hint="eastAsia" w:ascii="宋体" w:hAnsi="宋体"/>
        </w:rPr>
        <w:t>3.</w:t>
      </w:r>
      <w:r>
        <w:rPr>
          <w:rFonts w:hint="eastAsia" w:ascii="宋体" w:hAnsi="宋体"/>
          <w:lang w:val="en-US" w:eastAsia="zh-CN"/>
        </w:rPr>
        <w:t>2</w:t>
      </w:r>
      <w:r>
        <w:rPr>
          <w:rFonts w:hint="eastAsia" w:ascii="宋体" w:hAnsi="宋体"/>
        </w:rPr>
        <w:t>投标方运输车辆在厂内进出、过磅、装运必须服从招标方人员的统一组织调度。</w:t>
      </w:r>
    </w:p>
    <w:p w14:paraId="06E99914">
      <w:pPr>
        <w:spacing w:before="62" w:line="360" w:lineRule="auto"/>
        <w:rPr>
          <w:rFonts w:hint="eastAsia" w:ascii="宋体" w:hAnsi="宋体"/>
        </w:rPr>
      </w:pPr>
      <w:r>
        <w:rPr>
          <w:rFonts w:hint="eastAsia" w:ascii="宋体" w:hAnsi="宋体"/>
        </w:rPr>
        <w:t>3.</w:t>
      </w:r>
      <w:r>
        <w:rPr>
          <w:rFonts w:hint="eastAsia" w:ascii="宋体" w:hAnsi="宋体"/>
          <w:lang w:val="en-US" w:eastAsia="zh-CN"/>
        </w:rPr>
        <w:t>3</w:t>
      </w:r>
      <w:r>
        <w:rPr>
          <w:rFonts w:hint="eastAsia" w:ascii="宋体" w:hAnsi="宋体"/>
        </w:rPr>
        <w:t>投标方运输车辆在厂外行驶遵守《中华人民共和国交通安全法》有关管理规定，在厂区内应按规定线路限速行使，不应超过20km/h，注意安全。投标方对运输过程中出现的交通等各种安全事故负全责。</w:t>
      </w:r>
    </w:p>
    <w:p w14:paraId="08D23A89">
      <w:pPr>
        <w:spacing w:before="62" w:line="360" w:lineRule="auto"/>
        <w:rPr>
          <w:rFonts w:hint="eastAsia" w:ascii="宋体" w:hAnsi="宋体" w:cs="宋体"/>
        </w:rPr>
      </w:pPr>
      <w:r>
        <w:rPr>
          <w:rFonts w:hint="eastAsia" w:ascii="宋体" w:hAnsi="宋体" w:cs="宋体"/>
        </w:rPr>
        <w:t>3.</w:t>
      </w:r>
      <w:r>
        <w:rPr>
          <w:rFonts w:hint="eastAsia" w:ascii="宋体" w:hAnsi="宋体" w:cs="宋体"/>
          <w:lang w:val="en-US" w:eastAsia="zh-CN"/>
        </w:rPr>
        <w:t>4</w:t>
      </w:r>
      <w:r>
        <w:rPr>
          <w:rFonts w:hint="eastAsia" w:ascii="宋体" w:hAnsi="宋体" w:cs="宋体"/>
        </w:rPr>
        <w:t>投标方石膏运输车辆统一在石膏间内或招标方指定位置装载石膏，装载石膏应平整，装载量不得超过车厢厢顶，严禁超载并符合《超限运输车辆行驶公路管理规定》有关规定，招标方地磅过衡数据已连接至省交通运输厅治超管理平台。</w:t>
      </w:r>
    </w:p>
    <w:p w14:paraId="1ABE9923">
      <w:pPr>
        <w:spacing w:before="62" w:line="360" w:lineRule="auto"/>
        <w:rPr>
          <w:rFonts w:hint="eastAsia" w:ascii="宋体" w:hAnsi="宋体"/>
        </w:rPr>
      </w:pPr>
      <w:r>
        <w:rPr>
          <w:rFonts w:hint="eastAsia" w:ascii="宋体" w:hAnsi="宋体" w:cs="宋体"/>
        </w:rPr>
        <w:t>3.</w:t>
      </w:r>
      <w:r>
        <w:rPr>
          <w:rFonts w:hint="eastAsia" w:ascii="宋体" w:hAnsi="宋体" w:cs="宋体"/>
          <w:lang w:val="en-US" w:eastAsia="zh-CN"/>
        </w:rPr>
        <w:t>5</w:t>
      </w:r>
      <w:r>
        <w:rPr>
          <w:rFonts w:hint="eastAsia" w:ascii="宋体" w:hAnsi="宋体" w:cs="宋体"/>
        </w:rPr>
        <w:t>投标方石膏运输车辆需安装篷布，驶出装载点前，必须遮盖篷布，清</w:t>
      </w:r>
      <w:r>
        <w:rPr>
          <w:rFonts w:hint="eastAsia" w:ascii="宋体" w:hAnsi="宋体"/>
        </w:rPr>
        <w:t>扫车厢边沿易洒落的石膏粉，以免运输途中洒落，影响厂内卫生环境。</w:t>
      </w:r>
    </w:p>
    <w:p w14:paraId="5A6AFCE4">
      <w:pPr>
        <w:spacing w:before="62" w:line="360" w:lineRule="auto"/>
        <w:rPr>
          <w:rFonts w:hint="eastAsia" w:ascii="宋体" w:hAnsi="宋体"/>
        </w:rPr>
      </w:pPr>
      <w:r>
        <w:rPr>
          <w:rFonts w:hint="eastAsia" w:ascii="宋体" w:hAnsi="宋体"/>
        </w:rPr>
        <w:t>3.</w:t>
      </w:r>
      <w:r>
        <w:rPr>
          <w:rFonts w:hint="eastAsia" w:ascii="宋体" w:hAnsi="宋体"/>
          <w:lang w:val="en-US" w:eastAsia="zh-CN"/>
        </w:rPr>
        <w:t>6</w:t>
      </w:r>
      <w:r>
        <w:rPr>
          <w:rFonts w:hint="eastAsia" w:ascii="宋体" w:hAnsi="宋体"/>
        </w:rPr>
        <w:t>投标方石膏运输车辆遮盖篷布、清扫死角卫生时，运输车辆应在指定地方</w:t>
      </w:r>
      <w:r>
        <w:rPr>
          <w:rFonts w:hint="eastAsia"/>
        </w:rPr>
        <w:t>熄火制动</w:t>
      </w:r>
      <w:r>
        <w:rPr>
          <w:rFonts w:hint="eastAsia" w:ascii="宋体" w:hAnsi="宋体"/>
        </w:rPr>
        <w:t>可靠停运，人员佩戴好安全带，以免发生高处坠落事故，投标方应自备合格的安全防护用具。</w:t>
      </w:r>
    </w:p>
    <w:p w14:paraId="728ED03A">
      <w:pPr>
        <w:spacing w:before="62" w:line="360" w:lineRule="auto"/>
        <w:rPr>
          <w:rFonts w:hint="eastAsia" w:ascii="宋体" w:hAnsi="宋体"/>
        </w:rPr>
      </w:pPr>
      <w:r>
        <w:rPr>
          <w:rFonts w:hint="eastAsia" w:ascii="宋体" w:hAnsi="宋体"/>
        </w:rPr>
        <w:t>3.</w:t>
      </w:r>
      <w:r>
        <w:rPr>
          <w:rFonts w:hint="eastAsia" w:ascii="宋体" w:hAnsi="宋体"/>
          <w:lang w:val="en-US" w:eastAsia="zh-CN"/>
        </w:rPr>
        <w:t>7</w:t>
      </w:r>
      <w:r>
        <w:rPr>
          <w:rFonts w:hint="eastAsia" w:ascii="宋体" w:hAnsi="宋体"/>
        </w:rPr>
        <w:t>投标方石膏运输车辆驶出装载点前，车辆驾驶员应对车辆进行全面检查，整理车容，清理车身和车轮易洒落物。</w:t>
      </w:r>
    </w:p>
    <w:p w14:paraId="35E78F57">
      <w:pPr>
        <w:spacing w:before="62" w:line="360" w:lineRule="auto"/>
        <w:rPr>
          <w:rFonts w:hint="eastAsia" w:ascii="宋体" w:hAnsi="宋体"/>
        </w:rPr>
      </w:pPr>
      <w:r>
        <w:rPr>
          <w:rFonts w:hint="eastAsia" w:ascii="宋体" w:hAnsi="宋体"/>
        </w:rPr>
        <w:t>3.</w:t>
      </w:r>
      <w:r>
        <w:rPr>
          <w:rFonts w:hint="eastAsia" w:ascii="宋体" w:hAnsi="宋体"/>
          <w:lang w:val="en-US" w:eastAsia="zh-CN"/>
        </w:rPr>
        <w:t>8</w:t>
      </w:r>
      <w:r>
        <w:rPr>
          <w:rFonts w:hint="eastAsia" w:ascii="宋体" w:hAnsi="宋体"/>
        </w:rPr>
        <w:t>投标方石膏运输车辆在招标方厂内及运输目的地厂内装载和运输过程中出现扬尘、漏渣、漏水、撒粉等污染环境的行为，投标方负责及时将有关设施、地面及道路卫生进行清扫，招标方按有关规定进行考核。</w:t>
      </w:r>
    </w:p>
    <w:p w14:paraId="13B6DAB2">
      <w:pPr>
        <w:spacing w:before="62" w:line="360" w:lineRule="auto"/>
        <w:rPr>
          <w:rFonts w:hint="eastAsia" w:ascii="宋体" w:hAnsi="宋体"/>
        </w:rPr>
      </w:pPr>
      <w:r>
        <w:rPr>
          <w:rFonts w:hint="eastAsia" w:ascii="宋体" w:hAnsi="宋体"/>
        </w:rPr>
        <w:t>3.</w:t>
      </w:r>
      <w:r>
        <w:rPr>
          <w:rFonts w:hint="eastAsia" w:ascii="宋体" w:hAnsi="宋体"/>
          <w:lang w:val="en-US" w:eastAsia="zh-CN"/>
        </w:rPr>
        <w:t>9</w:t>
      </w:r>
      <w:r>
        <w:rPr>
          <w:rFonts w:hint="eastAsia" w:ascii="宋体" w:hAnsi="宋体"/>
        </w:rPr>
        <w:t>投标方车辆拖运石膏前空车过磅一次，装载石膏后过磅并打印过磅单领取放行牌；磅单一式三份，经磅房管理人员核对后，由磅房收集保管，每月汇总一次签字确认无误后交招标方在结算中使用。</w:t>
      </w:r>
    </w:p>
    <w:p w14:paraId="0004728F">
      <w:pPr>
        <w:spacing w:before="62" w:line="360" w:lineRule="auto"/>
        <w:rPr>
          <w:rFonts w:hint="eastAsia" w:ascii="宋体" w:hAnsi="宋体"/>
        </w:rPr>
      </w:pPr>
      <w:r>
        <w:rPr>
          <w:rFonts w:hint="eastAsia" w:ascii="宋体" w:hAnsi="宋体"/>
        </w:rPr>
        <w:t>3.1</w:t>
      </w:r>
      <w:r>
        <w:rPr>
          <w:rFonts w:hint="eastAsia" w:ascii="宋体" w:hAnsi="宋体"/>
          <w:lang w:val="en-US" w:eastAsia="zh-CN"/>
        </w:rPr>
        <w:t>0</w:t>
      </w:r>
      <w:r>
        <w:rPr>
          <w:rFonts w:hint="eastAsia" w:ascii="宋体" w:hAnsi="宋体"/>
        </w:rPr>
        <w:t>投标方人员过磅后，将放行牌交给招标方</w:t>
      </w:r>
      <w:r>
        <w:rPr>
          <w:rFonts w:hint="eastAsia" w:ascii="宋体" w:hAnsi="宋体"/>
          <w:lang w:val="en-US" w:eastAsia="zh-CN"/>
        </w:rPr>
        <w:t>综合管理部</w:t>
      </w:r>
      <w:r>
        <w:rPr>
          <w:rFonts w:hint="eastAsia" w:ascii="宋体" w:hAnsi="宋体"/>
        </w:rPr>
        <w:t>，招标方</w:t>
      </w:r>
      <w:r>
        <w:rPr>
          <w:rFonts w:hint="eastAsia" w:ascii="宋体" w:hAnsi="宋体"/>
          <w:lang w:val="en-US" w:eastAsia="zh-CN"/>
        </w:rPr>
        <w:t>综合管理部</w:t>
      </w:r>
      <w:r>
        <w:rPr>
          <w:rFonts w:hint="eastAsia" w:ascii="宋体" w:hAnsi="宋体"/>
        </w:rPr>
        <w:t>收到放行牌，核实后方可放行。</w:t>
      </w:r>
    </w:p>
    <w:p w14:paraId="68AC5979">
      <w:pPr>
        <w:spacing w:before="62" w:line="360" w:lineRule="auto"/>
        <w:rPr>
          <w:rFonts w:hint="eastAsia" w:ascii="宋体" w:hAnsi="宋体"/>
        </w:rPr>
      </w:pPr>
      <w:r>
        <w:rPr>
          <w:rFonts w:hint="eastAsia" w:ascii="宋体" w:hAnsi="宋体"/>
        </w:rPr>
        <w:t>3.1</w:t>
      </w:r>
      <w:r>
        <w:rPr>
          <w:rFonts w:hint="eastAsia" w:ascii="宋体" w:hAnsi="宋体"/>
          <w:lang w:val="en-US" w:eastAsia="zh-CN"/>
        </w:rPr>
        <w:t>1</w:t>
      </w:r>
      <w:r>
        <w:rPr>
          <w:rFonts w:hint="eastAsia" w:ascii="宋体" w:hAnsi="宋体"/>
        </w:rPr>
        <w:t>投标方运输车辆在装载和运输途中，损坏招标方厂区内相关设施，应照价赔偿相关的全部费用，并执行考核。</w:t>
      </w:r>
    </w:p>
    <w:p w14:paraId="54892457">
      <w:pPr>
        <w:spacing w:before="62" w:line="360" w:lineRule="auto"/>
        <w:rPr>
          <w:rFonts w:hint="eastAsia" w:ascii="宋体" w:hAnsi="宋体"/>
          <w:color w:val="auto"/>
        </w:rPr>
      </w:pPr>
      <w:r>
        <w:rPr>
          <w:rFonts w:hint="eastAsia" w:ascii="宋体" w:hAnsi="宋体"/>
          <w:color w:val="auto"/>
        </w:rPr>
        <w:t>3.1</w:t>
      </w:r>
      <w:r>
        <w:rPr>
          <w:rFonts w:hint="eastAsia" w:ascii="宋体" w:hAnsi="宋体"/>
          <w:color w:val="auto"/>
          <w:lang w:val="en-US" w:eastAsia="zh-CN"/>
        </w:rPr>
        <w:t>2</w:t>
      </w:r>
      <w:r>
        <w:rPr>
          <w:rFonts w:hint="eastAsia" w:ascii="宋体" w:hAnsi="宋体"/>
          <w:color w:val="auto"/>
        </w:rPr>
        <w:t>所有重型载货汽车必须安装北斗卫星定位装置，接入全国道路货运车辆公共监管与服务平台，</w:t>
      </w:r>
      <w:r>
        <w:rPr>
          <w:rFonts w:hint="eastAsia" w:ascii="宋体" w:hAnsi="宋体"/>
          <w:color w:val="auto"/>
          <w:lang w:val="en-US" w:eastAsia="zh-CN"/>
        </w:rPr>
        <w:t>在需要时</w:t>
      </w:r>
      <w:r>
        <w:rPr>
          <w:rFonts w:hint="eastAsia" w:ascii="宋体" w:hAnsi="宋体"/>
          <w:color w:val="auto"/>
        </w:rPr>
        <w:t>向招标方提供实时定位</w:t>
      </w:r>
      <w:r>
        <w:rPr>
          <w:rFonts w:hint="eastAsia" w:ascii="宋体" w:hAnsi="宋体"/>
          <w:color w:val="auto"/>
          <w:lang w:val="en-US" w:eastAsia="zh-CN"/>
        </w:rPr>
        <w:t>信息</w:t>
      </w:r>
      <w:r>
        <w:rPr>
          <w:rFonts w:hint="eastAsia" w:ascii="宋体" w:hAnsi="宋体"/>
          <w:color w:val="auto"/>
        </w:rPr>
        <w:t>。</w:t>
      </w:r>
    </w:p>
    <w:p w14:paraId="571D332D">
      <w:pPr>
        <w:spacing w:before="62" w:line="360" w:lineRule="auto"/>
        <w:rPr>
          <w:rFonts w:hint="eastAsia" w:ascii="宋体" w:hAnsi="宋体"/>
        </w:rPr>
      </w:pPr>
      <w:r>
        <w:rPr>
          <w:rFonts w:hint="eastAsia" w:ascii="宋体" w:hAnsi="宋体"/>
        </w:rPr>
        <w:t>3.1</w:t>
      </w:r>
      <w:r>
        <w:rPr>
          <w:rFonts w:hint="eastAsia" w:ascii="宋体" w:hAnsi="宋体"/>
          <w:lang w:val="en-US" w:eastAsia="zh-CN"/>
        </w:rPr>
        <w:t>3</w:t>
      </w:r>
      <w:r>
        <w:rPr>
          <w:rFonts w:hint="eastAsia" w:ascii="宋体" w:hAnsi="宋体"/>
        </w:rPr>
        <w:t>投标方认真遵守《电业安全工作规程》并遵照招标方制定的《外包工程安全管理办法》进行安全施工、文明施工，实施标准化作业，对违反招标方有关规定按招标方有关规定考核。</w:t>
      </w:r>
    </w:p>
    <w:p w14:paraId="0CCB62CB">
      <w:pPr>
        <w:spacing w:before="62" w:line="360" w:lineRule="auto"/>
        <w:rPr>
          <w:rFonts w:hint="eastAsia" w:ascii="宋体" w:hAnsi="宋体"/>
        </w:rPr>
      </w:pPr>
      <w:r>
        <w:rPr>
          <w:rFonts w:hint="eastAsia" w:ascii="宋体" w:hAnsi="宋体"/>
        </w:rPr>
        <w:t>3.1</w:t>
      </w:r>
      <w:r>
        <w:rPr>
          <w:rFonts w:hint="eastAsia" w:ascii="宋体" w:hAnsi="宋体"/>
          <w:lang w:val="en-US" w:eastAsia="zh-CN"/>
        </w:rPr>
        <w:t>4</w:t>
      </w:r>
      <w:r>
        <w:rPr>
          <w:rFonts w:hint="eastAsia" w:ascii="宋体" w:hAnsi="宋体"/>
        </w:rPr>
        <w:t>投标方人员在石膏的装卸、运输等过程中违反有关安全工作的规程、规定，造成人员伤亡和设备设施损坏事故，责任完全由投标方承担；投标方人员违反我国有关环境保护的法律、法规、条例规定，造成环境污染的，责任完全由投标方承担。</w:t>
      </w:r>
    </w:p>
    <w:p w14:paraId="4C401DD9">
      <w:pPr>
        <w:pStyle w:val="31"/>
      </w:pPr>
      <w:r>
        <w:rPr>
          <w:rFonts w:hint="eastAsia" w:ascii="宋体" w:hAnsi="宋体"/>
        </w:rPr>
        <w:t>3.18投标方在运输途中一切行为由投标方负责，招标方不负任何责任。</w:t>
      </w:r>
    </w:p>
    <w:p w14:paraId="64C69151">
      <w:pPr>
        <w:spacing w:before="62" w:line="360" w:lineRule="auto"/>
        <w:rPr>
          <w:rFonts w:hint="eastAsia" w:ascii="宋体" w:hAnsi="宋体"/>
          <w:b/>
          <w:bCs/>
        </w:rPr>
      </w:pPr>
      <w:r>
        <w:rPr>
          <w:rFonts w:hint="eastAsia" w:ascii="宋体" w:hAnsi="宋体"/>
          <w:b/>
          <w:bCs/>
        </w:rPr>
        <w:t>4、污染防治要求</w:t>
      </w:r>
    </w:p>
    <w:p w14:paraId="1E7860A4">
      <w:pPr>
        <w:spacing w:before="62" w:line="360" w:lineRule="auto"/>
        <w:rPr>
          <w:rFonts w:hint="eastAsia" w:ascii="宋体" w:hAnsi="宋体"/>
        </w:rPr>
      </w:pPr>
      <w:r>
        <w:rPr>
          <w:rFonts w:hint="eastAsia" w:ascii="宋体" w:hAnsi="宋体"/>
        </w:rPr>
        <w:t>4.1投标方对石膏的运输过程中应符合《中华人民共和国固体废物污染环境防治法》要求。</w:t>
      </w:r>
    </w:p>
    <w:p w14:paraId="692445E2">
      <w:pPr>
        <w:spacing w:before="62" w:line="360" w:lineRule="auto"/>
        <w:rPr>
          <w:rFonts w:hint="eastAsia" w:ascii="宋体" w:hAnsi="宋体"/>
        </w:rPr>
      </w:pPr>
      <w:r>
        <w:rPr>
          <w:rFonts w:hint="eastAsia" w:ascii="宋体" w:hAnsi="宋体"/>
        </w:rPr>
        <w:t>4.2投标方运输车辆的环保要求。</w:t>
      </w:r>
    </w:p>
    <w:p w14:paraId="23A1015C">
      <w:pPr>
        <w:widowControl/>
        <w:spacing w:line="360" w:lineRule="auto"/>
        <w:jc w:val="left"/>
        <w:rPr>
          <w:rFonts w:hint="eastAsia" w:ascii="宋体" w:hAnsi="宋体"/>
        </w:rPr>
      </w:pPr>
      <w:r>
        <w:rPr>
          <w:rFonts w:hint="eastAsia" w:ascii="宋体" w:hAnsi="宋体"/>
        </w:rPr>
        <w:t>4.2.1标方运输车辆应优先采用环保车辆，其中新能源车辆须为达标车辆，满足中华人民共和国国家生态环境标准；柴油及气体燃料车辆最低门槛条件，需符合GB17691—2005《车用压燃式、气体燃料点燃式发动机与汽车排气污染物排放限值及测量方法（中国Ⅲ、Ⅳ、Ⅴ阶段）》中的国五标准。投标方须提供运输车辆年检合格证明、道路运输证等相关材料。投标方清洁运输车辆占比应达到</w:t>
      </w:r>
      <w:r>
        <w:rPr>
          <w:rFonts w:hint="eastAsia" w:ascii="宋体" w:hAnsi="宋体"/>
          <w:lang w:val="en-US" w:eastAsia="zh-CN"/>
        </w:rPr>
        <w:t>9</w:t>
      </w:r>
      <w:r>
        <w:rPr>
          <w:rFonts w:hint="eastAsia" w:ascii="宋体" w:hAnsi="宋体"/>
        </w:rPr>
        <w:t>0%以上，该比例为满足GB17691—2018《重型柴油车污染物排放限值及测量方法（中国第六阶段）》（简称国六）的车辆与新能源车辆的数量总和占全部运输车辆的比例。</w:t>
      </w:r>
    </w:p>
    <w:p w14:paraId="6209F58F">
      <w:pPr>
        <w:widowControl/>
        <w:spacing w:line="360" w:lineRule="auto"/>
        <w:jc w:val="left"/>
        <w:rPr>
          <w:rFonts w:hint="eastAsia" w:ascii="宋体" w:hAnsi="宋体"/>
        </w:rPr>
      </w:pPr>
      <w:r>
        <w:rPr>
          <w:rFonts w:hint="eastAsia" w:ascii="宋体" w:hAnsi="宋体"/>
        </w:rPr>
        <w:t>4.2.2投标方应与招标方签订车辆排放达标保证书，并提供运输车辆年检合格证明、道路运输证等相关证明材料。</w:t>
      </w:r>
    </w:p>
    <w:p w14:paraId="6A1A0D21">
      <w:pPr>
        <w:spacing w:before="62" w:line="360" w:lineRule="auto"/>
        <w:rPr>
          <w:rFonts w:hint="eastAsia" w:ascii="宋体" w:hAnsi="宋体"/>
        </w:rPr>
      </w:pPr>
      <w:r>
        <w:rPr>
          <w:rFonts w:hint="eastAsia" w:ascii="宋体" w:hAnsi="宋体"/>
        </w:rPr>
        <w:t>4.3投标方对石膏的运输过程中应当采取防扬散、防流失、防渗漏或者其他防止污染环境的措施，不得擅自倾倒、堆放、丢弃、遗撒石膏。</w:t>
      </w:r>
    </w:p>
    <w:p w14:paraId="515167D0">
      <w:pPr>
        <w:spacing w:before="62" w:line="360" w:lineRule="auto"/>
        <w:rPr>
          <w:rFonts w:hint="eastAsia" w:ascii="宋体" w:hAnsi="宋体"/>
        </w:rPr>
      </w:pPr>
      <w:r>
        <w:rPr>
          <w:rFonts w:hint="eastAsia" w:ascii="宋体" w:hAnsi="宋体"/>
        </w:rPr>
        <w:t>4.4投标方对石膏的运输应当采取措施，防止或者减少对环境的污染，对所造成的环境污染投标方应承担一切责任并及时消除污染。</w:t>
      </w:r>
    </w:p>
    <w:p w14:paraId="43D154E5">
      <w:pPr>
        <w:spacing w:before="62" w:line="360" w:lineRule="auto"/>
        <w:rPr>
          <w:rFonts w:hint="default" w:ascii="宋体" w:hAnsi="宋体"/>
          <w:lang w:val="en-US" w:eastAsia="zh-CN"/>
        </w:rPr>
      </w:pPr>
      <w:r>
        <w:rPr>
          <w:rFonts w:hint="eastAsia" w:ascii="宋体" w:hAnsi="宋体"/>
          <w:lang w:val="en-US" w:eastAsia="zh-CN"/>
        </w:rPr>
        <w:t>4.5 禁止在水源地、基本农田、生态红线、河道沿线堆放脱硫石膏。</w:t>
      </w:r>
    </w:p>
    <w:p w14:paraId="4E1D888A">
      <w:pPr>
        <w:spacing w:before="62" w:line="360" w:lineRule="auto"/>
        <w:rPr>
          <w:rFonts w:hint="eastAsia" w:ascii="宋体" w:hAnsi="宋体"/>
          <w:b/>
          <w:bCs/>
        </w:rPr>
      </w:pPr>
      <w:r>
        <w:rPr>
          <w:rFonts w:hint="eastAsia" w:ascii="宋体" w:hAnsi="宋体"/>
          <w:b/>
          <w:bCs/>
        </w:rPr>
        <w:t>5、服务期限</w:t>
      </w:r>
    </w:p>
    <w:p w14:paraId="4BB12AF7">
      <w:pPr>
        <w:spacing w:before="62" w:line="360" w:lineRule="auto"/>
        <w:rPr>
          <w:rFonts w:hint="eastAsia" w:ascii="宋体" w:hAnsi="宋体"/>
        </w:rPr>
      </w:pPr>
      <w:r>
        <w:rPr>
          <w:rFonts w:hint="eastAsia" w:ascii="宋体" w:hAnsi="宋体"/>
        </w:rPr>
        <w:t>服务期限：</w:t>
      </w:r>
      <w:r>
        <w:rPr>
          <w:rFonts w:hint="eastAsia" w:ascii="宋体" w:hAnsi="宋体"/>
          <w:lang w:val="en-US" w:eastAsia="zh-CN"/>
        </w:rPr>
        <w:t>合同签订日</w:t>
      </w:r>
      <w:r>
        <w:rPr>
          <w:rFonts w:hint="eastAsia" w:ascii="宋体" w:hAnsi="宋体"/>
        </w:rPr>
        <w:t>至202</w:t>
      </w:r>
      <w:r>
        <w:rPr>
          <w:rFonts w:hint="eastAsia" w:ascii="宋体" w:hAnsi="宋体"/>
          <w:lang w:val="en-US" w:eastAsia="zh-CN"/>
        </w:rPr>
        <w:t>7</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31</w:t>
      </w:r>
      <w:r>
        <w:rPr>
          <w:rFonts w:hint="eastAsia" w:ascii="宋体" w:hAnsi="宋体"/>
        </w:rPr>
        <w:t>日。</w:t>
      </w:r>
    </w:p>
    <w:p w14:paraId="3F55DCBE">
      <w:pPr>
        <w:spacing w:before="62" w:line="360" w:lineRule="auto"/>
        <w:rPr>
          <w:rFonts w:hint="eastAsia" w:ascii="宋体" w:hAnsi="宋体"/>
        </w:rPr>
      </w:pPr>
      <w:r>
        <w:rPr>
          <w:rFonts w:hint="eastAsia" w:ascii="宋体" w:hAnsi="宋体"/>
        </w:rPr>
        <w:t>服务期限内从江西赣能股份有限公司丰城发电厂运输石膏至</w:t>
      </w:r>
      <w:r>
        <w:rPr>
          <w:rFonts w:hint="eastAsia" w:ascii="宋体" w:hAnsi="宋体"/>
          <w:lang w:val="en-US" w:eastAsia="zh-CN"/>
        </w:rPr>
        <w:t>江西永丰南方水泥</w:t>
      </w:r>
      <w:r>
        <w:rPr>
          <w:rFonts w:hint="eastAsia" w:ascii="宋体" w:hAnsi="宋体"/>
        </w:rPr>
        <w:t>有限公司，预估石膏运输量约</w:t>
      </w:r>
      <w:r>
        <w:rPr>
          <w:rFonts w:hint="eastAsia" w:ascii="宋体" w:hAnsi="宋体"/>
          <w:lang w:val="en-US" w:eastAsia="zh-CN"/>
        </w:rPr>
        <w:t>0.2</w:t>
      </w:r>
      <w:r>
        <w:rPr>
          <w:rFonts w:hint="eastAsia" w:ascii="宋体" w:hAnsi="宋体"/>
        </w:rPr>
        <w:t>万吨。运输量按实际</w:t>
      </w:r>
      <w:r>
        <w:rPr>
          <w:rFonts w:hint="eastAsia" w:ascii="宋体" w:hAnsi="宋体"/>
          <w:lang w:val="en-US" w:eastAsia="zh-CN"/>
        </w:rPr>
        <w:t>发生</w:t>
      </w:r>
      <w:bookmarkStart w:id="1" w:name="_GoBack"/>
      <w:bookmarkEnd w:id="1"/>
      <w:r>
        <w:rPr>
          <w:rFonts w:hint="eastAsia" w:ascii="宋体" w:hAnsi="宋体"/>
        </w:rPr>
        <w:t>运输量为准。</w:t>
      </w:r>
    </w:p>
    <w:p w14:paraId="4E87236A">
      <w:pPr>
        <w:pStyle w:val="20"/>
        <w:tabs>
          <w:tab w:val="left" w:pos="840"/>
          <w:tab w:val="right" w:leader="dot" w:pos="9117"/>
        </w:tabs>
        <w:spacing w:before="120" w:beforeLines="50" w:after="120" w:afterLines="50" w:line="360" w:lineRule="auto"/>
        <w:rPr>
          <w:rFonts w:hint="eastAsia" w:ascii="宋体" w:hAnsi="宋体" w:cs="宋体"/>
          <w:b/>
          <w:bCs/>
        </w:rPr>
      </w:pPr>
      <w:r>
        <w:rPr>
          <w:rFonts w:hint="eastAsia" w:ascii="宋体" w:hAnsi="宋体" w:cs="宋体"/>
          <w:b/>
          <w:bCs/>
        </w:rPr>
        <w:t>6、双方职责</w:t>
      </w:r>
    </w:p>
    <w:p w14:paraId="18DC7CB9">
      <w:pPr>
        <w:spacing w:before="62" w:line="360" w:lineRule="auto"/>
        <w:rPr>
          <w:rFonts w:hint="eastAsia" w:ascii="宋体" w:hAnsi="宋体"/>
        </w:rPr>
      </w:pPr>
      <w:r>
        <w:rPr>
          <w:rFonts w:hint="eastAsia" w:ascii="宋体" w:hAnsi="宋体"/>
        </w:rPr>
        <w:t>6.1招标方职责</w:t>
      </w:r>
    </w:p>
    <w:p w14:paraId="7CB0FA81">
      <w:pPr>
        <w:spacing w:before="62" w:line="360" w:lineRule="auto"/>
        <w:rPr>
          <w:rFonts w:hint="eastAsia" w:ascii="宋体" w:hAnsi="宋体"/>
        </w:rPr>
      </w:pPr>
      <w:r>
        <w:rPr>
          <w:rFonts w:hint="eastAsia" w:ascii="宋体" w:hAnsi="宋体"/>
        </w:rPr>
        <w:t>6.1.1负责运输车辆进出、过磅称重管理。</w:t>
      </w:r>
    </w:p>
    <w:p w14:paraId="61F8DFE2">
      <w:pPr>
        <w:spacing w:before="62" w:line="360" w:lineRule="auto"/>
        <w:rPr>
          <w:rFonts w:hint="eastAsia" w:ascii="宋体" w:hAnsi="宋体"/>
        </w:rPr>
      </w:pPr>
      <w:r>
        <w:rPr>
          <w:rFonts w:hint="eastAsia" w:ascii="宋体" w:hAnsi="宋体"/>
        </w:rPr>
        <w:t>6.1.2负责石膏装卸、运输过程中的安全监督、检查与考核。</w:t>
      </w:r>
    </w:p>
    <w:p w14:paraId="61C5BD1B">
      <w:pPr>
        <w:spacing w:before="62" w:line="360" w:lineRule="auto"/>
        <w:rPr>
          <w:rFonts w:hint="eastAsia" w:ascii="宋体" w:hAnsi="宋体"/>
        </w:rPr>
      </w:pPr>
      <w:r>
        <w:rPr>
          <w:rFonts w:hint="eastAsia" w:ascii="宋体" w:hAnsi="宋体"/>
        </w:rPr>
        <w:t>6.1.3负责石膏量统计、结算。</w:t>
      </w:r>
    </w:p>
    <w:p w14:paraId="23DFCAC7">
      <w:pPr>
        <w:spacing w:before="62" w:line="360" w:lineRule="auto"/>
        <w:rPr>
          <w:rFonts w:hint="eastAsia" w:ascii="宋体" w:hAnsi="宋体"/>
        </w:rPr>
      </w:pPr>
      <w:r>
        <w:rPr>
          <w:rFonts w:hint="eastAsia" w:ascii="宋体" w:hAnsi="宋体"/>
        </w:rPr>
        <w:t>6.2投标方职责</w:t>
      </w:r>
    </w:p>
    <w:p w14:paraId="2F0D5E90">
      <w:pPr>
        <w:spacing w:before="62" w:line="360" w:lineRule="auto"/>
        <w:rPr>
          <w:rFonts w:hint="eastAsia" w:ascii="宋体" w:hAnsi="宋体"/>
        </w:rPr>
      </w:pPr>
      <w:r>
        <w:rPr>
          <w:rFonts w:hint="eastAsia" w:ascii="宋体" w:hAnsi="宋体"/>
        </w:rPr>
        <w:t>6.2.1负责根据招标方要求将招标方5、6、7、8号机组石膏间库存石膏运招标方指定位置。</w:t>
      </w:r>
    </w:p>
    <w:p w14:paraId="71CA9E84">
      <w:pPr>
        <w:spacing w:before="62" w:line="360" w:lineRule="auto"/>
        <w:rPr>
          <w:rFonts w:hint="eastAsia" w:ascii="宋体" w:hAnsi="宋体"/>
        </w:rPr>
      </w:pPr>
      <w:r>
        <w:rPr>
          <w:rFonts w:hint="eastAsia" w:ascii="宋体" w:hAnsi="宋体"/>
        </w:rPr>
        <w:t>6.2.2负责运输车辆日常维护、检修和保养。</w:t>
      </w:r>
    </w:p>
    <w:p w14:paraId="38A988D6">
      <w:pPr>
        <w:spacing w:before="62" w:line="360" w:lineRule="auto"/>
        <w:rPr>
          <w:rFonts w:hint="eastAsia" w:ascii="宋体" w:hAnsi="宋体"/>
        </w:rPr>
      </w:pPr>
      <w:r>
        <w:rPr>
          <w:rFonts w:hint="eastAsia" w:ascii="宋体" w:hAnsi="宋体"/>
        </w:rPr>
        <w:t>6.2.3负责规范运输司机管理。</w:t>
      </w:r>
    </w:p>
    <w:p w14:paraId="644A951A">
      <w:pPr>
        <w:spacing w:before="62" w:line="360" w:lineRule="auto"/>
        <w:rPr>
          <w:rFonts w:hint="eastAsia" w:ascii="宋体" w:hAnsi="宋体"/>
        </w:rPr>
      </w:pPr>
      <w:r>
        <w:rPr>
          <w:rFonts w:hint="eastAsia" w:ascii="宋体" w:hAnsi="宋体"/>
        </w:rPr>
        <w:t>6.2.4对投标方人员的安全全面负责，加强运输人员的安全教育，在运输石膏过程中严格遵守交通，安全法规，防止发生交通事故。因投标方的原因造成的交通事故，责任全部由投标方承担；对在运输过程中出现的交通等各种安全事故负全责。</w:t>
      </w:r>
    </w:p>
    <w:p w14:paraId="34D0DADC">
      <w:pPr>
        <w:spacing w:before="62" w:line="360" w:lineRule="auto"/>
        <w:rPr>
          <w:rFonts w:hint="eastAsia" w:ascii="宋体" w:hAnsi="宋体"/>
        </w:rPr>
      </w:pPr>
      <w:r>
        <w:rPr>
          <w:rFonts w:hint="eastAsia" w:ascii="宋体" w:hAnsi="宋体"/>
        </w:rPr>
        <w:t>6.2.5落实招标方提出的相关整改及通知要求。</w:t>
      </w:r>
    </w:p>
    <w:p w14:paraId="0CF9D00A">
      <w:pPr>
        <w:pStyle w:val="20"/>
        <w:tabs>
          <w:tab w:val="left" w:pos="840"/>
          <w:tab w:val="right" w:leader="dot" w:pos="9117"/>
        </w:tabs>
        <w:spacing w:before="120" w:beforeLines="50" w:after="120" w:afterLines="50" w:line="360" w:lineRule="auto"/>
        <w:rPr>
          <w:rFonts w:hint="eastAsia" w:ascii="宋体" w:hAnsi="宋体" w:cs="宋体"/>
          <w:b/>
          <w:bCs/>
        </w:rPr>
      </w:pPr>
      <w:r>
        <w:rPr>
          <w:rFonts w:hint="eastAsia" w:ascii="宋体" w:hAnsi="宋体" w:cs="宋体"/>
          <w:b/>
          <w:bCs/>
        </w:rPr>
        <w:t>7、考核</w:t>
      </w:r>
    </w:p>
    <w:p w14:paraId="541A0411">
      <w:pPr>
        <w:adjustRightInd w:val="0"/>
        <w:snapToGrid w:val="0"/>
        <w:spacing w:line="360" w:lineRule="auto"/>
        <w:rPr>
          <w:rFonts w:hint="eastAsia" w:ascii="宋体" w:hAnsi="宋体" w:cs="宋体"/>
        </w:rPr>
      </w:pPr>
      <w:r>
        <w:rPr>
          <w:rFonts w:hint="eastAsia" w:ascii="宋体" w:hAnsi="宋体" w:cs="宋体"/>
        </w:rPr>
        <w:t>7.1投标方运输车辆在厂区内不按规定线路和速度行驶，不按规定装载、过磅，考核1000元/次。</w:t>
      </w:r>
    </w:p>
    <w:p w14:paraId="192684D9">
      <w:pPr>
        <w:adjustRightInd w:val="0"/>
        <w:snapToGrid w:val="0"/>
        <w:spacing w:line="360" w:lineRule="auto"/>
        <w:rPr>
          <w:rFonts w:hint="eastAsia" w:ascii="宋体" w:hAnsi="宋体" w:cs="宋体"/>
        </w:rPr>
      </w:pPr>
      <w:r>
        <w:rPr>
          <w:rFonts w:hint="eastAsia" w:ascii="宋体" w:hAnsi="宋体" w:cs="宋体"/>
        </w:rPr>
        <w:t>7.2投标方运输车辆在装载和运输过程中，发生石膏洒落或其他影响环境卫生的事件，考核2000元/次。</w:t>
      </w:r>
    </w:p>
    <w:p w14:paraId="2F6014E4">
      <w:pPr>
        <w:adjustRightInd w:val="0"/>
        <w:snapToGrid w:val="0"/>
        <w:spacing w:line="360" w:lineRule="auto"/>
        <w:rPr>
          <w:rFonts w:hint="eastAsia" w:ascii="宋体" w:hAnsi="宋体" w:cs="宋体"/>
        </w:rPr>
      </w:pPr>
      <w:r>
        <w:rPr>
          <w:rFonts w:hint="eastAsia" w:ascii="宋体" w:hAnsi="宋体" w:cs="宋体"/>
        </w:rPr>
        <w:t>7.3投标方运输车辆驶出装载点不按规定遮盖棚布，每发现一次考核1000元，不整理车容，未清理干净车身易洒落物，造成环境影响的，每发现一次考核1000元。</w:t>
      </w:r>
    </w:p>
    <w:p w14:paraId="5E1B51DF">
      <w:pPr>
        <w:adjustRightInd w:val="0"/>
        <w:snapToGrid w:val="0"/>
        <w:spacing w:line="360" w:lineRule="auto"/>
        <w:rPr>
          <w:rFonts w:hint="eastAsia" w:ascii="宋体" w:hAnsi="宋体" w:cs="宋体"/>
        </w:rPr>
      </w:pPr>
      <w:r>
        <w:rPr>
          <w:rFonts w:hint="eastAsia" w:ascii="宋体" w:hAnsi="宋体" w:cs="宋体"/>
        </w:rPr>
        <w:t>7.4投标方运输车辆在装载和运输途中，损坏相关设施，除照价赔偿相关的全部费用，并考核1000元/次。</w:t>
      </w:r>
    </w:p>
    <w:p w14:paraId="0E392A21">
      <w:pPr>
        <w:adjustRightInd w:val="0"/>
        <w:snapToGrid w:val="0"/>
        <w:spacing w:line="360" w:lineRule="auto"/>
        <w:rPr>
          <w:rFonts w:hint="eastAsia" w:ascii="宋体" w:hAnsi="宋体" w:cs="宋体"/>
        </w:rPr>
      </w:pPr>
      <w:r>
        <w:rPr>
          <w:rFonts w:hint="eastAsia" w:ascii="宋体" w:hAnsi="宋体" w:cs="宋体"/>
        </w:rPr>
        <w:t>7.5投标方有关人员在装载和运输过程中，不遵守有关安全管理规定，按招标方有关规定进行考核。</w:t>
      </w:r>
    </w:p>
    <w:p w14:paraId="79DC4800">
      <w:pPr>
        <w:adjustRightInd w:val="0"/>
        <w:snapToGrid w:val="0"/>
        <w:spacing w:line="360" w:lineRule="auto"/>
        <w:rPr>
          <w:rFonts w:hint="eastAsia" w:ascii="宋体" w:hAnsi="宋体" w:cs="宋体"/>
        </w:rPr>
      </w:pPr>
      <w:r>
        <w:rPr>
          <w:rFonts w:hint="eastAsia" w:ascii="宋体" w:hAnsi="宋体" w:cs="宋体"/>
        </w:rPr>
        <w:t>7.6投标方在招标方厂内装载、卸料应按招标方要求填写相关台账，台账记录错误的视情况每处考核不低于100元，有关台账记录敷衍了事、不认真记录、漏登记、弄虚作假的每次考核不低于1000元。</w:t>
      </w:r>
    </w:p>
    <w:p w14:paraId="06E4052C">
      <w:pPr>
        <w:adjustRightInd w:val="0"/>
        <w:snapToGrid w:val="0"/>
        <w:spacing w:line="360" w:lineRule="auto"/>
        <w:rPr>
          <w:rFonts w:hint="eastAsia" w:ascii="宋体" w:hAnsi="宋体" w:cs="宋体"/>
        </w:rPr>
      </w:pPr>
      <w:r>
        <w:rPr>
          <w:rFonts w:hint="eastAsia" w:ascii="宋体" w:hAnsi="宋体" w:cs="宋体"/>
        </w:rPr>
        <w:t>7.7投标方违反本技术规范其它条款的，视情况每条至少考核500元。</w:t>
      </w:r>
    </w:p>
    <w:p w14:paraId="7F6490AB">
      <w:pPr>
        <w:adjustRightInd w:val="0"/>
        <w:snapToGrid w:val="0"/>
        <w:spacing w:line="360" w:lineRule="auto"/>
        <w:rPr>
          <w:rFonts w:hint="eastAsia" w:ascii="宋体" w:hAnsi="宋体" w:cs="宋体"/>
        </w:rPr>
      </w:pPr>
      <w:r>
        <w:rPr>
          <w:rFonts w:hint="eastAsia" w:ascii="宋体" w:hAnsi="宋体" w:cs="宋体"/>
        </w:rPr>
        <w:t>7.8因投标方车辆超载等原因对招标方造成负面影响的，将对投标方进行责任追究并考核。</w:t>
      </w:r>
    </w:p>
    <w:p w14:paraId="359AD87D">
      <w:pPr>
        <w:adjustRightInd w:val="0"/>
        <w:snapToGrid w:val="0"/>
        <w:spacing w:line="360" w:lineRule="auto"/>
        <w:rPr>
          <w:rFonts w:hint="eastAsia" w:ascii="宋体" w:hAnsi="宋体" w:cs="宋体"/>
        </w:rPr>
      </w:pPr>
      <w:r>
        <w:rPr>
          <w:rFonts w:hint="eastAsia" w:ascii="宋体" w:hAnsi="宋体" w:cs="宋体"/>
        </w:rPr>
        <w:t>7.9石膏运输车货总质量超过《超限运输车辆行驶公路管理规定》第三条第一款第四项至第八项规定的限定标准，予以警告，返回石膏间卸载部分石膏后重新过磅，单日超载警告超过三车次的，考核500元/次并返回石膏间卸载部分石膏后重新过磅。</w:t>
      </w:r>
    </w:p>
    <w:p w14:paraId="765B88DA">
      <w:pPr>
        <w:spacing w:line="360" w:lineRule="auto"/>
        <w:rPr>
          <w:rFonts w:hint="eastAsia" w:ascii="宋体" w:hAnsi="宋体" w:cs="宋体"/>
        </w:rPr>
      </w:pPr>
      <w:r>
        <w:rPr>
          <w:rFonts w:hint="eastAsia" w:ascii="宋体" w:hAnsi="宋体" w:cs="宋体"/>
        </w:rPr>
        <w:t>7.1</w:t>
      </w:r>
      <w:r>
        <w:rPr>
          <w:rFonts w:hint="eastAsia" w:ascii="宋体" w:hAnsi="宋体" w:cs="宋体"/>
          <w:lang w:val="en-US" w:eastAsia="zh-CN"/>
        </w:rPr>
        <w:t>0</w:t>
      </w:r>
      <w:r>
        <w:rPr>
          <w:rFonts w:hint="eastAsia" w:ascii="宋体" w:hAnsi="宋体" w:cs="宋体"/>
        </w:rPr>
        <w:t>投标方必须按招标方要求的时间将货物送到指定位置，出现一次运输不及时的（接通知后24小时内交货）若未及时到货，将考核1000元</w:t>
      </w:r>
      <w:r>
        <w:rPr>
          <w:rFonts w:hint="eastAsia" w:ascii="宋体" w:hAnsi="宋体" w:cs="宋体"/>
          <w:lang w:val="zh-CN"/>
        </w:rPr>
        <w:t>。</w:t>
      </w:r>
      <w:r>
        <w:rPr>
          <w:rFonts w:hint="eastAsia" w:ascii="宋体" w:hAnsi="宋体" w:cs="宋体"/>
        </w:rPr>
        <w:t>若因投标方送货不及时或送货质量影响到招标方生产或环保指标时，则投标方将承担因此造成的一切损失。</w:t>
      </w:r>
    </w:p>
    <w:p w14:paraId="4ECCF288">
      <w:pPr>
        <w:spacing w:line="360" w:lineRule="auto"/>
        <w:rPr>
          <w:color w:val="auto"/>
        </w:rPr>
      </w:pPr>
      <w:r>
        <w:rPr>
          <w:rFonts w:hint="eastAsia" w:ascii="宋体" w:hAnsi="宋体" w:cs="宋体"/>
          <w:snapToGrid w:val="0"/>
          <w:color w:val="auto"/>
        </w:rPr>
        <w:t>7.1</w:t>
      </w:r>
      <w:r>
        <w:rPr>
          <w:rFonts w:hint="eastAsia" w:ascii="宋体" w:hAnsi="宋体" w:cs="宋体"/>
          <w:snapToGrid w:val="0"/>
          <w:color w:val="auto"/>
          <w:lang w:val="en-US" w:eastAsia="zh-CN"/>
        </w:rPr>
        <w:t>1</w:t>
      </w:r>
      <w:r>
        <w:rPr>
          <w:rFonts w:hint="eastAsia" w:ascii="宋体" w:hAnsi="宋体"/>
          <w:color w:val="auto"/>
        </w:rPr>
        <w:t>投标方每月运输车辆清洁运输方式比例未达到80%的</w:t>
      </w:r>
      <w:r>
        <w:rPr>
          <w:rFonts w:hint="eastAsia" w:ascii="宋体" w:hAnsi="宋体" w:cs="宋体"/>
          <w:snapToGrid w:val="0"/>
          <w:color w:val="auto"/>
        </w:rPr>
        <w:t>，</w:t>
      </w:r>
      <w:r>
        <w:rPr>
          <w:rFonts w:hint="eastAsia" w:ascii="宋体" w:hAnsi="宋体"/>
          <w:color w:val="auto"/>
        </w:rPr>
        <w:t>即满足</w:t>
      </w:r>
      <w:r>
        <w:rPr>
          <w:rFonts w:ascii="宋体" w:hAnsi="宋体"/>
          <w:color w:val="auto"/>
        </w:rPr>
        <w:t>GB 17691</w:t>
      </w:r>
      <w:r>
        <w:rPr>
          <w:rFonts w:hint="eastAsia" w:ascii="宋体" w:hAnsi="宋体"/>
          <w:color w:val="auto"/>
        </w:rPr>
        <w:t>—</w:t>
      </w:r>
      <w:r>
        <w:rPr>
          <w:rFonts w:ascii="宋体" w:hAnsi="宋体"/>
          <w:color w:val="auto"/>
        </w:rPr>
        <w:t>2018</w:t>
      </w:r>
      <w:r>
        <w:rPr>
          <w:rFonts w:hint="eastAsia" w:ascii="宋体" w:hAnsi="宋体"/>
          <w:color w:val="auto"/>
        </w:rPr>
        <w:t>《重型柴油车污染物排放限值及测量方法（中国第六阶段）》（简称国六）的车辆和新能源车辆的总和应占比未达到80%的，按比例差额进行考核。例如：当月清洁运输方式比例为7</w:t>
      </w:r>
      <w:r>
        <w:rPr>
          <w:rFonts w:hint="eastAsia" w:ascii="宋体" w:hAnsi="宋体"/>
          <w:color w:val="auto"/>
          <w:lang w:val="en-US" w:eastAsia="zh-CN"/>
        </w:rPr>
        <w:t>2</w:t>
      </w:r>
      <w:r>
        <w:rPr>
          <w:rFonts w:hint="eastAsia" w:ascii="宋体" w:hAnsi="宋体"/>
          <w:color w:val="auto"/>
        </w:rPr>
        <w:t>%，考核金额=当月运输总</w:t>
      </w:r>
      <w:r>
        <w:rPr>
          <w:rFonts w:hint="eastAsia" w:ascii="宋体" w:hAnsi="宋体"/>
          <w:color w:val="auto"/>
          <w:lang w:eastAsia="zh-CN"/>
        </w:rPr>
        <w:t>量</w:t>
      </w:r>
      <w:r>
        <w:rPr>
          <w:rFonts w:hint="eastAsia" w:ascii="宋体" w:hAnsi="宋体"/>
          <w:color w:val="auto"/>
        </w:rPr>
        <w:t>*</w:t>
      </w:r>
      <w:r>
        <w:rPr>
          <w:rFonts w:hint="eastAsia" w:ascii="宋体" w:hAnsi="宋体"/>
          <w:color w:val="auto"/>
          <w:lang w:val="en-US" w:eastAsia="zh-CN"/>
        </w:rPr>
        <w:t>（80-72）</w:t>
      </w:r>
      <w:r>
        <w:rPr>
          <w:rFonts w:hint="eastAsia" w:ascii="宋体" w:hAnsi="宋体"/>
          <w:color w:val="auto"/>
        </w:rPr>
        <w:t>%。</w:t>
      </w:r>
    </w:p>
    <w:p w14:paraId="4F646A15">
      <w:pPr>
        <w:spacing w:line="360" w:lineRule="auto"/>
      </w:pPr>
      <w:r>
        <w:rPr>
          <w:rFonts w:hint="eastAsia" w:ascii="宋体" w:hAnsi="宋体" w:cs="宋体"/>
          <w:snapToGrid w:val="0"/>
        </w:rPr>
        <w:t>7.1</w:t>
      </w:r>
      <w:r>
        <w:rPr>
          <w:rFonts w:hint="eastAsia" w:ascii="宋体" w:hAnsi="宋体" w:cs="宋体"/>
          <w:snapToGrid w:val="0"/>
          <w:lang w:val="en-US" w:eastAsia="zh-CN"/>
        </w:rPr>
        <w:t>2</w:t>
      </w:r>
      <w:r>
        <w:rPr>
          <w:rFonts w:hint="eastAsia" w:ascii="宋体" w:hAnsi="宋体" w:cs="宋体"/>
          <w:snapToGrid w:val="0"/>
        </w:rPr>
        <w:t>因投标方原因延期交货，而给招标方造成影响的，招标方有权单方面终止合同，所造成的实际损失（包括政府可能对招标方的相关处罚、罚款）由投标方承担。</w:t>
      </w:r>
    </w:p>
    <w:p w14:paraId="3C49CB8F">
      <w:pPr>
        <w:spacing w:line="360" w:lineRule="auto"/>
        <w:rPr>
          <w:rFonts w:hint="eastAsia" w:ascii="宋体" w:hAnsi="宋体" w:cs="宋体"/>
          <w:snapToGrid w:val="0"/>
        </w:rPr>
      </w:pPr>
      <w:r>
        <w:rPr>
          <w:rFonts w:hint="eastAsia" w:ascii="宋体" w:hAnsi="宋体" w:cs="宋体"/>
          <w:snapToGrid w:val="0"/>
        </w:rPr>
        <w:t>7.1</w:t>
      </w:r>
      <w:r>
        <w:rPr>
          <w:rFonts w:hint="eastAsia" w:ascii="宋体" w:hAnsi="宋体" w:cs="宋体"/>
          <w:snapToGrid w:val="0"/>
          <w:lang w:val="en-US" w:eastAsia="zh-CN"/>
        </w:rPr>
        <w:t>3</w:t>
      </w:r>
      <w:r>
        <w:rPr>
          <w:rFonts w:hint="eastAsia" w:ascii="宋体" w:hAnsi="宋体" w:cs="宋体"/>
        </w:rPr>
        <w:t>其他考核以招标方管理制度为准，投标方必须无条件接受招标方管理制度中的所有考核管理条款。</w:t>
      </w:r>
      <w:r>
        <w:rPr>
          <w:rFonts w:hint="eastAsia" w:ascii="宋体" w:hAnsi="宋体" w:cs="宋体"/>
          <w:snapToGrid w:val="0"/>
        </w:rPr>
        <w:t>投标方有违反本技术规范其他要求的，每次考核不低于500元。</w:t>
      </w:r>
      <w:r>
        <w:rPr>
          <w:rFonts w:hint="eastAsia" w:ascii="宋体" w:hAnsi="宋体" w:cs="宋体"/>
        </w:rPr>
        <w:t>其他按</w:t>
      </w:r>
      <w:r>
        <w:rPr>
          <w:rFonts w:hint="eastAsia" w:ascii="宋体" w:hAnsi="宋体" w:cs="宋体"/>
          <w:snapToGrid w:val="0"/>
        </w:rPr>
        <w:t>招标方有关规定进行考核。</w:t>
      </w:r>
    </w:p>
    <w:p w14:paraId="30015648">
      <w:pPr>
        <w:spacing w:line="360" w:lineRule="auto"/>
        <w:jc w:val="left"/>
        <w:rPr>
          <w:rFonts w:hint="eastAsia" w:ascii="宋体" w:hAnsi="宋体" w:cs="宋体"/>
        </w:rPr>
      </w:pPr>
      <w:r>
        <w:rPr>
          <w:rFonts w:hint="eastAsia" w:ascii="宋体" w:hAnsi="宋体" w:cs="宋体"/>
        </w:rPr>
        <w:t>7.1</w:t>
      </w:r>
      <w:r>
        <w:rPr>
          <w:rFonts w:hint="eastAsia" w:ascii="宋体" w:hAnsi="宋体" w:cs="宋体"/>
          <w:lang w:val="en-US" w:eastAsia="zh-CN"/>
        </w:rPr>
        <w:t>4</w:t>
      </w:r>
      <w:r>
        <w:rPr>
          <w:rFonts w:hint="eastAsia" w:ascii="宋体" w:hAnsi="宋体" w:cs="宋体"/>
        </w:rPr>
        <w:t>管理考核</w:t>
      </w:r>
    </w:p>
    <w:tbl>
      <w:tblPr>
        <w:tblStyle w:val="25"/>
        <w:tblW w:w="9570" w:type="dxa"/>
        <w:tblInd w:w="-91" w:type="dxa"/>
        <w:tblLayout w:type="fixed"/>
        <w:tblCellMar>
          <w:top w:w="15" w:type="dxa"/>
          <w:left w:w="15" w:type="dxa"/>
          <w:bottom w:w="15" w:type="dxa"/>
          <w:right w:w="15" w:type="dxa"/>
        </w:tblCellMar>
      </w:tblPr>
      <w:tblGrid>
        <w:gridCol w:w="521"/>
        <w:gridCol w:w="6469"/>
        <w:gridCol w:w="2580"/>
      </w:tblGrid>
      <w:tr w14:paraId="328B2F5E">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72558F7">
            <w:pPr>
              <w:spacing w:line="360" w:lineRule="auto"/>
              <w:jc w:val="center"/>
              <w:rPr>
                <w:rFonts w:hint="eastAsia" w:ascii="宋体" w:hAnsi="宋体" w:cs="宋体"/>
                <w:szCs w:val="21"/>
              </w:rPr>
            </w:pPr>
            <w:r>
              <w:rPr>
                <w:rFonts w:hint="eastAsia" w:ascii="宋体" w:hAnsi="宋体" w:cs="宋体"/>
                <w:szCs w:val="21"/>
              </w:rPr>
              <w:t>1</w:t>
            </w:r>
          </w:p>
        </w:tc>
        <w:tc>
          <w:tcPr>
            <w:tcW w:w="6469" w:type="dxa"/>
            <w:tcBorders>
              <w:top w:val="single" w:color="auto" w:sz="4" w:space="0"/>
              <w:left w:val="single" w:color="auto" w:sz="4" w:space="0"/>
              <w:bottom w:val="single" w:color="auto" w:sz="4" w:space="0"/>
              <w:right w:val="single" w:color="auto" w:sz="4" w:space="0"/>
            </w:tcBorders>
            <w:noWrap/>
            <w:vAlign w:val="center"/>
          </w:tcPr>
          <w:p w14:paraId="2FFDF3B0">
            <w:pPr>
              <w:spacing w:line="360" w:lineRule="auto"/>
              <w:jc w:val="left"/>
              <w:rPr>
                <w:rFonts w:hint="eastAsia" w:ascii="宋体" w:hAnsi="宋体" w:cs="宋体"/>
                <w:szCs w:val="21"/>
              </w:rPr>
            </w:pPr>
            <w:r>
              <w:rPr>
                <w:rFonts w:hint="eastAsia" w:ascii="宋体" w:hAnsi="宋体" w:cs="宋体"/>
                <w:szCs w:val="21"/>
              </w:rPr>
              <w:t>运输车辆进、出厂区，卸车（包括不按规定卸至招标方指定位置的）、过磅不服从调度的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5F88A1A4">
            <w:pPr>
              <w:spacing w:line="360" w:lineRule="auto"/>
              <w:jc w:val="left"/>
              <w:rPr>
                <w:rFonts w:hint="eastAsia" w:ascii="宋体" w:hAnsi="宋体" w:cs="宋体"/>
                <w:szCs w:val="21"/>
              </w:rPr>
            </w:pPr>
            <w:r>
              <w:rPr>
                <w:rFonts w:hint="eastAsia" w:ascii="宋体" w:hAnsi="宋体" w:cs="宋体"/>
                <w:szCs w:val="21"/>
              </w:rPr>
              <w:t>考核1000元/次</w:t>
            </w:r>
          </w:p>
        </w:tc>
      </w:tr>
      <w:tr w14:paraId="2F7E315C">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45300F3B">
            <w:pPr>
              <w:spacing w:line="360" w:lineRule="auto"/>
              <w:jc w:val="center"/>
              <w:rPr>
                <w:rFonts w:hint="eastAsia" w:ascii="宋体" w:hAnsi="宋体" w:cs="宋体"/>
                <w:szCs w:val="21"/>
              </w:rPr>
            </w:pPr>
            <w:r>
              <w:rPr>
                <w:rFonts w:hint="eastAsia" w:ascii="宋体" w:hAnsi="宋体" w:cs="宋体"/>
                <w:szCs w:val="21"/>
              </w:rPr>
              <w:t>2</w:t>
            </w:r>
          </w:p>
        </w:tc>
        <w:tc>
          <w:tcPr>
            <w:tcW w:w="6469" w:type="dxa"/>
            <w:tcBorders>
              <w:top w:val="single" w:color="auto" w:sz="4" w:space="0"/>
              <w:left w:val="single" w:color="auto" w:sz="4" w:space="0"/>
              <w:bottom w:val="single" w:color="auto" w:sz="4" w:space="0"/>
              <w:right w:val="single" w:color="auto" w:sz="4" w:space="0"/>
            </w:tcBorders>
            <w:noWrap/>
            <w:vAlign w:val="center"/>
          </w:tcPr>
          <w:p w14:paraId="33667B69">
            <w:pPr>
              <w:spacing w:line="360" w:lineRule="auto"/>
              <w:jc w:val="left"/>
              <w:rPr>
                <w:rFonts w:hint="eastAsia" w:ascii="宋体" w:hAnsi="宋体" w:cs="宋体"/>
                <w:szCs w:val="21"/>
              </w:rPr>
            </w:pPr>
            <w:r>
              <w:rPr>
                <w:rFonts w:hint="eastAsia" w:ascii="宋体" w:hAnsi="宋体" w:cs="宋体"/>
                <w:szCs w:val="21"/>
              </w:rPr>
              <w:t>运输车辆司机进、出厂区，装卸、过磅不服从调度的，并对现场工作人员进行语言以及肢体攻击的，考核运输司机5000元/次，并清理出厂。并对所属外委承包单位5000元/次。</w:t>
            </w:r>
          </w:p>
        </w:tc>
        <w:tc>
          <w:tcPr>
            <w:tcW w:w="2580" w:type="dxa"/>
            <w:tcBorders>
              <w:top w:val="single" w:color="auto" w:sz="4" w:space="0"/>
              <w:left w:val="single" w:color="auto" w:sz="4" w:space="0"/>
              <w:bottom w:val="single" w:color="auto" w:sz="4" w:space="0"/>
              <w:right w:val="single" w:color="auto" w:sz="4" w:space="0"/>
            </w:tcBorders>
            <w:noWrap/>
            <w:vAlign w:val="center"/>
          </w:tcPr>
          <w:p w14:paraId="43AF96D5">
            <w:pPr>
              <w:spacing w:line="360" w:lineRule="auto"/>
              <w:jc w:val="left"/>
              <w:rPr>
                <w:rFonts w:hint="eastAsia" w:ascii="宋体" w:hAnsi="宋体" w:cs="宋体"/>
                <w:szCs w:val="21"/>
              </w:rPr>
            </w:pPr>
            <w:r>
              <w:rPr>
                <w:rFonts w:hint="eastAsia" w:ascii="宋体" w:hAnsi="宋体" w:cs="宋体"/>
                <w:szCs w:val="21"/>
              </w:rPr>
              <w:t>考核司机及公司各5000元/次</w:t>
            </w:r>
          </w:p>
        </w:tc>
      </w:tr>
      <w:tr w14:paraId="5D72334B">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47666F10">
            <w:pPr>
              <w:spacing w:line="360" w:lineRule="auto"/>
              <w:jc w:val="center"/>
              <w:rPr>
                <w:rFonts w:hint="eastAsia" w:ascii="宋体" w:hAnsi="宋体" w:cs="宋体"/>
                <w:szCs w:val="21"/>
              </w:rPr>
            </w:pPr>
            <w:r>
              <w:rPr>
                <w:rFonts w:hint="eastAsia" w:ascii="宋体" w:hAnsi="宋体" w:cs="宋体"/>
                <w:szCs w:val="21"/>
              </w:rPr>
              <w:t>3</w:t>
            </w:r>
          </w:p>
        </w:tc>
        <w:tc>
          <w:tcPr>
            <w:tcW w:w="6469" w:type="dxa"/>
            <w:tcBorders>
              <w:top w:val="single" w:color="auto" w:sz="4" w:space="0"/>
              <w:left w:val="single" w:color="auto" w:sz="4" w:space="0"/>
              <w:bottom w:val="single" w:color="auto" w:sz="4" w:space="0"/>
              <w:right w:val="single" w:color="auto" w:sz="4" w:space="0"/>
            </w:tcBorders>
            <w:noWrap/>
            <w:vAlign w:val="center"/>
          </w:tcPr>
          <w:p w14:paraId="4B939A00">
            <w:pPr>
              <w:spacing w:line="360" w:lineRule="auto"/>
              <w:jc w:val="left"/>
              <w:rPr>
                <w:rFonts w:hint="eastAsia" w:ascii="宋体" w:hAnsi="宋体" w:cs="宋体"/>
                <w:szCs w:val="21"/>
              </w:rPr>
            </w:pPr>
            <w:r>
              <w:rPr>
                <w:rFonts w:hint="eastAsia" w:ascii="宋体" w:hAnsi="宋体" w:cs="宋体"/>
                <w:szCs w:val="21"/>
              </w:rPr>
              <w:t>车辆违章停车（包括厂区外）或不按顺序停车的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325A2374">
            <w:pPr>
              <w:spacing w:line="360" w:lineRule="auto"/>
              <w:jc w:val="left"/>
              <w:rPr>
                <w:rFonts w:hint="eastAsia" w:ascii="宋体" w:hAnsi="宋体" w:cs="宋体"/>
                <w:szCs w:val="21"/>
              </w:rPr>
            </w:pPr>
            <w:r>
              <w:rPr>
                <w:rFonts w:hint="eastAsia" w:ascii="宋体" w:hAnsi="宋体" w:cs="宋体"/>
                <w:szCs w:val="21"/>
              </w:rPr>
              <w:t>考核500元/次</w:t>
            </w:r>
          </w:p>
        </w:tc>
      </w:tr>
      <w:tr w14:paraId="3EC2F1BB">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74C94C8D">
            <w:pPr>
              <w:spacing w:line="360" w:lineRule="auto"/>
              <w:jc w:val="center"/>
              <w:rPr>
                <w:rFonts w:hint="eastAsia" w:ascii="宋体" w:hAnsi="宋体" w:cs="宋体"/>
                <w:szCs w:val="21"/>
              </w:rPr>
            </w:pPr>
            <w:r>
              <w:rPr>
                <w:rFonts w:hint="eastAsia" w:ascii="宋体" w:hAnsi="宋体" w:cs="宋体"/>
                <w:szCs w:val="21"/>
              </w:rPr>
              <w:t>4</w:t>
            </w:r>
          </w:p>
        </w:tc>
        <w:tc>
          <w:tcPr>
            <w:tcW w:w="6469" w:type="dxa"/>
            <w:tcBorders>
              <w:top w:val="single" w:color="auto" w:sz="4" w:space="0"/>
              <w:left w:val="single" w:color="auto" w:sz="4" w:space="0"/>
              <w:bottom w:val="single" w:color="auto" w:sz="4" w:space="0"/>
              <w:right w:val="single" w:color="auto" w:sz="4" w:space="0"/>
            </w:tcBorders>
            <w:noWrap/>
            <w:vAlign w:val="center"/>
          </w:tcPr>
          <w:p w14:paraId="1475F602">
            <w:pPr>
              <w:spacing w:line="360" w:lineRule="auto"/>
              <w:jc w:val="left"/>
              <w:rPr>
                <w:rFonts w:hint="eastAsia" w:ascii="宋体" w:hAnsi="宋体" w:cs="宋体"/>
                <w:szCs w:val="21"/>
              </w:rPr>
            </w:pPr>
            <w:r>
              <w:rPr>
                <w:rFonts w:hint="eastAsia" w:ascii="宋体" w:hAnsi="宋体" w:cs="宋体"/>
                <w:szCs w:val="21"/>
              </w:rPr>
              <w:t>不按规定线路行驶以及在厂区超速行驶的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6710AC2B">
            <w:pPr>
              <w:spacing w:line="360" w:lineRule="auto"/>
              <w:jc w:val="left"/>
              <w:rPr>
                <w:rFonts w:hint="eastAsia" w:ascii="宋体" w:hAnsi="宋体" w:cs="宋体"/>
                <w:szCs w:val="21"/>
              </w:rPr>
            </w:pPr>
            <w:r>
              <w:rPr>
                <w:rFonts w:hint="eastAsia" w:ascii="宋体" w:hAnsi="宋体" w:cs="宋体"/>
                <w:szCs w:val="21"/>
              </w:rPr>
              <w:t>考核500元/次</w:t>
            </w:r>
          </w:p>
        </w:tc>
      </w:tr>
      <w:tr w14:paraId="05739D7C">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517930FB">
            <w:pPr>
              <w:spacing w:line="360" w:lineRule="auto"/>
              <w:jc w:val="center"/>
              <w:rPr>
                <w:rFonts w:hint="eastAsia" w:ascii="宋体" w:hAnsi="宋体" w:cs="宋体"/>
                <w:szCs w:val="21"/>
              </w:rPr>
            </w:pPr>
            <w:r>
              <w:rPr>
                <w:rFonts w:hint="eastAsia" w:ascii="宋体" w:hAnsi="宋体" w:cs="宋体"/>
                <w:szCs w:val="21"/>
              </w:rPr>
              <w:t>5</w:t>
            </w:r>
          </w:p>
        </w:tc>
        <w:tc>
          <w:tcPr>
            <w:tcW w:w="6469" w:type="dxa"/>
            <w:tcBorders>
              <w:top w:val="single" w:color="auto" w:sz="4" w:space="0"/>
              <w:left w:val="single" w:color="auto" w:sz="4" w:space="0"/>
              <w:bottom w:val="single" w:color="auto" w:sz="4" w:space="0"/>
              <w:right w:val="single" w:color="auto" w:sz="4" w:space="0"/>
            </w:tcBorders>
            <w:noWrap/>
            <w:vAlign w:val="center"/>
          </w:tcPr>
          <w:p w14:paraId="358FC1C8">
            <w:pPr>
              <w:spacing w:line="360" w:lineRule="auto"/>
              <w:jc w:val="left"/>
              <w:rPr>
                <w:rFonts w:hint="eastAsia" w:ascii="宋体" w:hAnsi="宋体" w:cs="宋体"/>
                <w:szCs w:val="21"/>
              </w:rPr>
            </w:pPr>
            <w:r>
              <w:rPr>
                <w:rFonts w:hint="eastAsia" w:ascii="宋体" w:hAnsi="宋体" w:cs="宋体"/>
                <w:szCs w:val="21"/>
              </w:rPr>
              <w:t>因车辆行走不当造成设备损坏、变形以及造成相关建筑物损坏、附属物松脱、脱落的，并承担修复产生的一切费用</w:t>
            </w:r>
          </w:p>
        </w:tc>
        <w:tc>
          <w:tcPr>
            <w:tcW w:w="2580" w:type="dxa"/>
            <w:tcBorders>
              <w:top w:val="single" w:color="auto" w:sz="4" w:space="0"/>
              <w:left w:val="single" w:color="auto" w:sz="4" w:space="0"/>
              <w:bottom w:val="single" w:color="auto" w:sz="4" w:space="0"/>
              <w:right w:val="single" w:color="auto" w:sz="4" w:space="0"/>
            </w:tcBorders>
            <w:noWrap/>
            <w:vAlign w:val="center"/>
          </w:tcPr>
          <w:p w14:paraId="27C21F23">
            <w:pPr>
              <w:spacing w:line="360" w:lineRule="auto"/>
              <w:jc w:val="left"/>
              <w:rPr>
                <w:rFonts w:hint="eastAsia" w:ascii="宋体" w:hAnsi="宋体" w:cs="宋体"/>
                <w:szCs w:val="21"/>
              </w:rPr>
            </w:pPr>
            <w:r>
              <w:rPr>
                <w:rFonts w:hint="eastAsia" w:ascii="宋体" w:hAnsi="宋体" w:cs="宋体"/>
                <w:szCs w:val="21"/>
              </w:rPr>
              <w:t>考核1000元/次</w:t>
            </w:r>
          </w:p>
        </w:tc>
      </w:tr>
      <w:tr w14:paraId="2701200A">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1EADFEB3">
            <w:pPr>
              <w:spacing w:line="360" w:lineRule="auto"/>
              <w:jc w:val="center"/>
              <w:rPr>
                <w:rFonts w:hint="eastAsia" w:ascii="宋体" w:hAnsi="宋体" w:cs="宋体"/>
                <w:szCs w:val="21"/>
              </w:rPr>
            </w:pPr>
            <w:r>
              <w:rPr>
                <w:rFonts w:hint="eastAsia" w:ascii="宋体" w:hAnsi="宋体" w:cs="宋体"/>
                <w:szCs w:val="21"/>
              </w:rPr>
              <w:t>6</w:t>
            </w:r>
          </w:p>
        </w:tc>
        <w:tc>
          <w:tcPr>
            <w:tcW w:w="6469" w:type="dxa"/>
            <w:tcBorders>
              <w:top w:val="single" w:color="auto" w:sz="4" w:space="0"/>
              <w:left w:val="single" w:color="auto" w:sz="4" w:space="0"/>
              <w:bottom w:val="single" w:color="auto" w:sz="4" w:space="0"/>
              <w:right w:val="single" w:color="auto" w:sz="4" w:space="0"/>
            </w:tcBorders>
            <w:noWrap/>
            <w:vAlign w:val="center"/>
          </w:tcPr>
          <w:p w14:paraId="4FA803D0">
            <w:pPr>
              <w:spacing w:line="360" w:lineRule="auto"/>
              <w:jc w:val="left"/>
              <w:rPr>
                <w:rFonts w:hint="eastAsia" w:ascii="宋体" w:hAnsi="宋体" w:cs="宋体"/>
                <w:szCs w:val="21"/>
              </w:rPr>
            </w:pPr>
            <w:r>
              <w:rPr>
                <w:rFonts w:hint="eastAsia" w:ascii="宋体" w:hAnsi="宋体" w:cs="宋体"/>
                <w:szCs w:val="21"/>
              </w:rPr>
              <w:t>卸料过程中造成设备损坏的且隐瞒现场设备缺陷的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7582067C">
            <w:pPr>
              <w:spacing w:line="360" w:lineRule="auto"/>
              <w:jc w:val="left"/>
              <w:rPr>
                <w:rFonts w:hint="eastAsia" w:ascii="宋体" w:hAnsi="宋体" w:cs="宋体"/>
                <w:szCs w:val="21"/>
              </w:rPr>
            </w:pPr>
            <w:r>
              <w:rPr>
                <w:rFonts w:hint="eastAsia" w:ascii="宋体" w:hAnsi="宋体" w:cs="宋体"/>
                <w:szCs w:val="21"/>
              </w:rPr>
              <w:t>考核1000-3000元/次</w:t>
            </w:r>
          </w:p>
        </w:tc>
      </w:tr>
      <w:tr w14:paraId="7A0F2E3B">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576BBD00">
            <w:pPr>
              <w:spacing w:line="360" w:lineRule="auto"/>
              <w:jc w:val="center"/>
              <w:rPr>
                <w:rFonts w:hint="eastAsia" w:ascii="宋体" w:hAnsi="宋体" w:cs="宋体"/>
                <w:szCs w:val="21"/>
              </w:rPr>
            </w:pPr>
            <w:r>
              <w:rPr>
                <w:rFonts w:hint="eastAsia" w:ascii="宋体" w:hAnsi="宋体" w:cs="宋体"/>
                <w:szCs w:val="21"/>
              </w:rPr>
              <w:t>7</w:t>
            </w:r>
          </w:p>
        </w:tc>
        <w:tc>
          <w:tcPr>
            <w:tcW w:w="6469" w:type="dxa"/>
            <w:tcBorders>
              <w:top w:val="single" w:color="auto" w:sz="4" w:space="0"/>
              <w:left w:val="single" w:color="auto" w:sz="4" w:space="0"/>
              <w:bottom w:val="single" w:color="auto" w:sz="4" w:space="0"/>
              <w:right w:val="single" w:color="auto" w:sz="4" w:space="0"/>
            </w:tcBorders>
            <w:noWrap/>
            <w:vAlign w:val="center"/>
          </w:tcPr>
          <w:p w14:paraId="533088EC">
            <w:pPr>
              <w:spacing w:line="360" w:lineRule="auto"/>
              <w:jc w:val="left"/>
              <w:rPr>
                <w:rFonts w:hint="eastAsia" w:ascii="宋体" w:hAnsi="宋体" w:cs="宋体"/>
                <w:szCs w:val="21"/>
              </w:rPr>
            </w:pPr>
            <w:r>
              <w:rPr>
                <w:rFonts w:hint="eastAsia" w:ascii="宋体" w:hAnsi="宋体" w:cs="宋体"/>
                <w:szCs w:val="21"/>
              </w:rPr>
              <w:t>卸料过程中造成粉尘飞扬，导致环境二次污染的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7BACBEAE">
            <w:pPr>
              <w:spacing w:line="360" w:lineRule="auto"/>
              <w:jc w:val="left"/>
              <w:rPr>
                <w:rFonts w:hint="eastAsia" w:ascii="宋体" w:hAnsi="宋体" w:cs="宋体"/>
                <w:szCs w:val="21"/>
              </w:rPr>
            </w:pPr>
            <w:r>
              <w:rPr>
                <w:rFonts w:hint="eastAsia" w:ascii="宋体" w:hAnsi="宋体" w:cs="宋体"/>
                <w:szCs w:val="21"/>
              </w:rPr>
              <w:t>考核200-500元/次</w:t>
            </w:r>
          </w:p>
        </w:tc>
      </w:tr>
      <w:tr w14:paraId="4CE20181">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6F06709F">
            <w:pPr>
              <w:spacing w:line="360" w:lineRule="auto"/>
              <w:jc w:val="center"/>
              <w:rPr>
                <w:rFonts w:hint="eastAsia" w:ascii="宋体" w:hAnsi="宋体" w:cs="宋体"/>
                <w:szCs w:val="21"/>
              </w:rPr>
            </w:pPr>
            <w:r>
              <w:rPr>
                <w:rFonts w:hint="eastAsia" w:ascii="宋体" w:hAnsi="宋体" w:cs="宋体"/>
                <w:szCs w:val="21"/>
              </w:rPr>
              <w:t>8</w:t>
            </w:r>
          </w:p>
        </w:tc>
        <w:tc>
          <w:tcPr>
            <w:tcW w:w="6469" w:type="dxa"/>
            <w:tcBorders>
              <w:top w:val="single" w:color="auto" w:sz="4" w:space="0"/>
              <w:left w:val="single" w:color="auto" w:sz="4" w:space="0"/>
              <w:bottom w:val="single" w:color="auto" w:sz="4" w:space="0"/>
              <w:right w:val="single" w:color="auto" w:sz="4" w:space="0"/>
            </w:tcBorders>
            <w:noWrap/>
            <w:vAlign w:val="center"/>
          </w:tcPr>
          <w:p w14:paraId="0D7F6FC2">
            <w:pPr>
              <w:spacing w:line="360" w:lineRule="auto"/>
              <w:jc w:val="left"/>
              <w:rPr>
                <w:rFonts w:hint="eastAsia" w:ascii="宋体" w:hAnsi="宋体" w:cs="宋体"/>
                <w:szCs w:val="21"/>
              </w:rPr>
            </w:pPr>
            <w:r>
              <w:rPr>
                <w:rFonts w:hint="eastAsia" w:ascii="宋体" w:hAnsi="宋体" w:cs="宋体"/>
                <w:szCs w:val="21"/>
              </w:rPr>
              <w:t>卸料时车辆最后一排轮胎驶入超过卸料格栅前台阶的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0AE20D6F">
            <w:pPr>
              <w:spacing w:line="360" w:lineRule="auto"/>
              <w:jc w:val="left"/>
              <w:rPr>
                <w:rFonts w:hint="eastAsia" w:ascii="宋体" w:hAnsi="宋体" w:cs="宋体"/>
                <w:szCs w:val="21"/>
              </w:rPr>
            </w:pPr>
            <w:r>
              <w:rPr>
                <w:rFonts w:hint="eastAsia" w:ascii="宋体" w:hAnsi="宋体" w:cs="宋体"/>
                <w:szCs w:val="21"/>
              </w:rPr>
              <w:t>考核1000元/次</w:t>
            </w:r>
          </w:p>
        </w:tc>
      </w:tr>
      <w:tr w14:paraId="5F8F58AA">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2B410EB9">
            <w:pPr>
              <w:spacing w:line="360" w:lineRule="auto"/>
              <w:jc w:val="center"/>
              <w:rPr>
                <w:rFonts w:hint="eastAsia" w:ascii="宋体" w:hAnsi="宋体" w:cs="宋体"/>
                <w:szCs w:val="21"/>
              </w:rPr>
            </w:pPr>
            <w:r>
              <w:rPr>
                <w:rFonts w:hint="eastAsia" w:ascii="宋体" w:hAnsi="宋体" w:cs="宋体"/>
                <w:szCs w:val="21"/>
              </w:rPr>
              <w:t>9</w:t>
            </w:r>
          </w:p>
        </w:tc>
        <w:tc>
          <w:tcPr>
            <w:tcW w:w="6469" w:type="dxa"/>
            <w:tcBorders>
              <w:top w:val="single" w:color="auto" w:sz="4" w:space="0"/>
              <w:left w:val="single" w:color="auto" w:sz="4" w:space="0"/>
              <w:bottom w:val="single" w:color="auto" w:sz="4" w:space="0"/>
              <w:right w:val="single" w:color="auto" w:sz="4" w:space="0"/>
            </w:tcBorders>
            <w:noWrap/>
            <w:vAlign w:val="center"/>
          </w:tcPr>
          <w:p w14:paraId="769422FA">
            <w:pPr>
              <w:spacing w:line="360" w:lineRule="auto"/>
              <w:jc w:val="left"/>
              <w:rPr>
                <w:rFonts w:hint="eastAsia" w:ascii="宋体" w:hAnsi="宋体" w:cs="宋体"/>
                <w:szCs w:val="21"/>
              </w:rPr>
            </w:pPr>
            <w:r>
              <w:rPr>
                <w:rFonts w:hint="eastAsia" w:ascii="宋体" w:hAnsi="宋体" w:cs="宋体"/>
                <w:szCs w:val="21"/>
              </w:rPr>
              <w:t>进入生产现场不戴安全帽、不正确佩戴安全帽或佩戴不合格的安全帽</w:t>
            </w:r>
          </w:p>
        </w:tc>
        <w:tc>
          <w:tcPr>
            <w:tcW w:w="2580" w:type="dxa"/>
            <w:tcBorders>
              <w:top w:val="single" w:color="auto" w:sz="4" w:space="0"/>
              <w:left w:val="single" w:color="auto" w:sz="4" w:space="0"/>
              <w:bottom w:val="single" w:color="auto" w:sz="4" w:space="0"/>
              <w:right w:val="single" w:color="auto" w:sz="4" w:space="0"/>
            </w:tcBorders>
            <w:noWrap/>
            <w:vAlign w:val="center"/>
          </w:tcPr>
          <w:p w14:paraId="388B5328">
            <w:pPr>
              <w:spacing w:line="360" w:lineRule="auto"/>
              <w:jc w:val="left"/>
              <w:rPr>
                <w:rFonts w:hint="eastAsia" w:ascii="宋体" w:hAnsi="宋体" w:cs="宋体"/>
                <w:szCs w:val="21"/>
              </w:rPr>
            </w:pPr>
            <w:r>
              <w:rPr>
                <w:rFonts w:hint="eastAsia" w:ascii="宋体" w:hAnsi="宋体" w:cs="宋体"/>
                <w:szCs w:val="21"/>
              </w:rPr>
              <w:t>考核2000元/人次</w:t>
            </w:r>
          </w:p>
        </w:tc>
      </w:tr>
      <w:tr w14:paraId="5A3EAC22">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35AD0E0E">
            <w:pPr>
              <w:spacing w:line="360" w:lineRule="auto"/>
              <w:jc w:val="center"/>
              <w:rPr>
                <w:rFonts w:hint="eastAsia" w:ascii="宋体" w:hAnsi="宋体" w:cs="宋体"/>
                <w:szCs w:val="21"/>
              </w:rPr>
            </w:pPr>
            <w:r>
              <w:rPr>
                <w:rFonts w:hint="eastAsia" w:ascii="宋体" w:hAnsi="宋体" w:cs="宋体"/>
                <w:szCs w:val="21"/>
              </w:rPr>
              <w:t>10</w:t>
            </w:r>
          </w:p>
        </w:tc>
        <w:tc>
          <w:tcPr>
            <w:tcW w:w="6469" w:type="dxa"/>
            <w:tcBorders>
              <w:top w:val="single" w:color="auto" w:sz="4" w:space="0"/>
              <w:left w:val="single" w:color="auto" w:sz="4" w:space="0"/>
              <w:bottom w:val="single" w:color="auto" w:sz="4" w:space="0"/>
              <w:right w:val="single" w:color="auto" w:sz="4" w:space="0"/>
            </w:tcBorders>
            <w:noWrap/>
            <w:vAlign w:val="center"/>
          </w:tcPr>
          <w:p w14:paraId="248DF8CB">
            <w:pPr>
              <w:spacing w:line="360" w:lineRule="auto"/>
              <w:jc w:val="left"/>
              <w:rPr>
                <w:rFonts w:hint="eastAsia" w:ascii="宋体" w:hAnsi="宋体" w:cs="宋体"/>
                <w:szCs w:val="21"/>
              </w:rPr>
            </w:pPr>
            <w:r>
              <w:rPr>
                <w:rFonts w:hint="eastAsia" w:ascii="宋体" w:hAnsi="宋体" w:cs="宋体"/>
                <w:szCs w:val="21"/>
              </w:rPr>
              <w:t>进入生产现场严禁穿拖鞋、凉鞋、高跟鞋、带钉的鞋，严禁打赤膊及其他违章着装（如短袖、短裤、背心等），违者责令退出现场并考核</w:t>
            </w:r>
          </w:p>
        </w:tc>
        <w:tc>
          <w:tcPr>
            <w:tcW w:w="2580" w:type="dxa"/>
            <w:tcBorders>
              <w:top w:val="single" w:color="auto" w:sz="4" w:space="0"/>
              <w:left w:val="single" w:color="auto" w:sz="4" w:space="0"/>
              <w:bottom w:val="single" w:color="auto" w:sz="4" w:space="0"/>
              <w:right w:val="single" w:color="auto" w:sz="4" w:space="0"/>
            </w:tcBorders>
            <w:noWrap/>
            <w:vAlign w:val="center"/>
          </w:tcPr>
          <w:p w14:paraId="70BF0054">
            <w:pPr>
              <w:spacing w:line="360" w:lineRule="auto"/>
              <w:jc w:val="left"/>
              <w:rPr>
                <w:rFonts w:hint="eastAsia" w:ascii="宋体" w:hAnsi="宋体" w:cs="宋体"/>
                <w:szCs w:val="21"/>
              </w:rPr>
            </w:pPr>
            <w:r>
              <w:rPr>
                <w:rFonts w:hint="eastAsia" w:ascii="宋体" w:hAnsi="宋体" w:cs="宋体"/>
                <w:szCs w:val="21"/>
              </w:rPr>
              <w:t>考核2000元/人次</w:t>
            </w:r>
          </w:p>
        </w:tc>
      </w:tr>
      <w:tr w14:paraId="21C9E809">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0BD6CC4A">
            <w:pPr>
              <w:spacing w:line="360" w:lineRule="auto"/>
              <w:jc w:val="center"/>
              <w:rPr>
                <w:rFonts w:hint="eastAsia" w:ascii="宋体" w:hAnsi="宋体" w:cs="宋体"/>
                <w:szCs w:val="21"/>
              </w:rPr>
            </w:pPr>
            <w:r>
              <w:rPr>
                <w:rFonts w:hint="eastAsia" w:ascii="宋体" w:hAnsi="宋体" w:cs="宋体"/>
                <w:szCs w:val="21"/>
              </w:rPr>
              <w:t>11</w:t>
            </w:r>
          </w:p>
        </w:tc>
        <w:tc>
          <w:tcPr>
            <w:tcW w:w="6469" w:type="dxa"/>
            <w:tcBorders>
              <w:top w:val="single" w:color="auto" w:sz="4" w:space="0"/>
              <w:left w:val="single" w:color="auto" w:sz="4" w:space="0"/>
              <w:bottom w:val="single" w:color="auto" w:sz="4" w:space="0"/>
              <w:right w:val="single" w:color="auto" w:sz="4" w:space="0"/>
            </w:tcBorders>
            <w:noWrap/>
            <w:vAlign w:val="center"/>
          </w:tcPr>
          <w:p w14:paraId="10DEE04C">
            <w:pPr>
              <w:spacing w:line="360" w:lineRule="auto"/>
              <w:jc w:val="left"/>
              <w:rPr>
                <w:rFonts w:hint="eastAsia" w:ascii="宋体" w:hAnsi="宋体" w:cs="宋体"/>
                <w:szCs w:val="21"/>
              </w:rPr>
            </w:pPr>
            <w:r>
              <w:rPr>
                <w:rFonts w:hint="eastAsia" w:ascii="宋体" w:hAnsi="宋体" w:cs="宋体"/>
                <w:szCs w:val="21"/>
              </w:rPr>
              <w:t>斗车升起后在斗车后作业的、在斗车后作业车辆未熄火的</w:t>
            </w:r>
          </w:p>
        </w:tc>
        <w:tc>
          <w:tcPr>
            <w:tcW w:w="2580" w:type="dxa"/>
            <w:tcBorders>
              <w:top w:val="single" w:color="auto" w:sz="4" w:space="0"/>
              <w:left w:val="single" w:color="auto" w:sz="4" w:space="0"/>
              <w:bottom w:val="single" w:color="auto" w:sz="4" w:space="0"/>
              <w:right w:val="single" w:color="auto" w:sz="4" w:space="0"/>
            </w:tcBorders>
            <w:noWrap/>
            <w:vAlign w:val="center"/>
          </w:tcPr>
          <w:p w14:paraId="478549B0">
            <w:pPr>
              <w:spacing w:line="360" w:lineRule="auto"/>
              <w:jc w:val="left"/>
              <w:rPr>
                <w:rFonts w:hint="eastAsia" w:ascii="宋体" w:hAnsi="宋体" w:cs="宋体"/>
                <w:szCs w:val="21"/>
              </w:rPr>
            </w:pPr>
            <w:r>
              <w:rPr>
                <w:rFonts w:hint="eastAsia" w:ascii="宋体" w:hAnsi="宋体" w:cs="宋体"/>
                <w:szCs w:val="21"/>
              </w:rPr>
              <w:t>考核1000元/次</w:t>
            </w:r>
          </w:p>
        </w:tc>
      </w:tr>
      <w:tr w14:paraId="4B8F226A">
        <w:tblPrEx>
          <w:tblCellMar>
            <w:top w:w="15" w:type="dxa"/>
            <w:left w:w="15" w:type="dxa"/>
            <w:bottom w:w="15" w:type="dxa"/>
            <w:right w:w="15" w:type="dxa"/>
          </w:tblCellMar>
        </w:tblPrEx>
        <w:trPr>
          <w:trHeight w:val="420" w:hRule="atLeast"/>
        </w:trPr>
        <w:tc>
          <w:tcPr>
            <w:tcW w:w="521" w:type="dxa"/>
            <w:tcBorders>
              <w:top w:val="single" w:color="auto" w:sz="4" w:space="0"/>
              <w:left w:val="single" w:color="auto" w:sz="4" w:space="0"/>
              <w:bottom w:val="single" w:color="auto" w:sz="4" w:space="0"/>
              <w:right w:val="single" w:color="auto" w:sz="4" w:space="0"/>
            </w:tcBorders>
            <w:noWrap/>
            <w:vAlign w:val="center"/>
          </w:tcPr>
          <w:p w14:paraId="4341800A">
            <w:pPr>
              <w:spacing w:line="360" w:lineRule="auto"/>
              <w:jc w:val="center"/>
              <w:rPr>
                <w:rFonts w:hint="eastAsia" w:ascii="宋体" w:hAnsi="宋体" w:cs="宋体"/>
                <w:szCs w:val="21"/>
              </w:rPr>
            </w:pPr>
            <w:r>
              <w:rPr>
                <w:rFonts w:hint="eastAsia" w:ascii="宋体" w:hAnsi="宋体" w:cs="宋体"/>
                <w:szCs w:val="21"/>
              </w:rPr>
              <w:t>12</w:t>
            </w:r>
          </w:p>
        </w:tc>
        <w:tc>
          <w:tcPr>
            <w:tcW w:w="6469" w:type="dxa"/>
            <w:tcBorders>
              <w:top w:val="single" w:color="auto" w:sz="4" w:space="0"/>
              <w:left w:val="single" w:color="auto" w:sz="4" w:space="0"/>
              <w:bottom w:val="single" w:color="auto" w:sz="4" w:space="0"/>
              <w:right w:val="single" w:color="auto" w:sz="4" w:space="0"/>
            </w:tcBorders>
            <w:noWrap/>
            <w:vAlign w:val="center"/>
          </w:tcPr>
          <w:p w14:paraId="6844B97E">
            <w:pPr>
              <w:spacing w:line="360" w:lineRule="auto"/>
              <w:jc w:val="left"/>
              <w:rPr>
                <w:rFonts w:hint="eastAsia" w:ascii="宋体" w:hAnsi="宋体" w:cs="宋体"/>
                <w:szCs w:val="21"/>
              </w:rPr>
            </w:pPr>
            <w:r>
              <w:rPr>
                <w:rFonts w:hint="eastAsia" w:ascii="宋体" w:hAnsi="宋体" w:cs="宋体"/>
                <w:szCs w:val="21"/>
              </w:rPr>
              <w:t>其他考核按照招标方有关规章制度执行</w:t>
            </w:r>
          </w:p>
        </w:tc>
        <w:tc>
          <w:tcPr>
            <w:tcW w:w="2580" w:type="dxa"/>
            <w:tcBorders>
              <w:top w:val="single" w:color="auto" w:sz="4" w:space="0"/>
              <w:left w:val="single" w:color="auto" w:sz="4" w:space="0"/>
              <w:bottom w:val="single" w:color="auto" w:sz="4" w:space="0"/>
              <w:right w:val="single" w:color="auto" w:sz="4" w:space="0"/>
            </w:tcBorders>
            <w:noWrap/>
            <w:vAlign w:val="center"/>
          </w:tcPr>
          <w:p w14:paraId="396F9246">
            <w:pPr>
              <w:spacing w:line="360" w:lineRule="auto"/>
              <w:jc w:val="left"/>
              <w:rPr>
                <w:rFonts w:hint="eastAsia" w:ascii="宋体" w:hAnsi="宋体" w:cs="宋体"/>
                <w:szCs w:val="21"/>
              </w:rPr>
            </w:pPr>
          </w:p>
        </w:tc>
      </w:tr>
    </w:tbl>
    <w:p w14:paraId="20782926"/>
    <w:p w14:paraId="65747688">
      <w:pPr>
        <w:pStyle w:val="3"/>
        <w:rPr>
          <w:color w:val="auto"/>
        </w:rPr>
      </w:pPr>
    </w:p>
    <w:sectPr>
      <w:headerReference r:id="rId5" w:type="default"/>
      <w:footerReference r:id="rId6" w:type="default"/>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BE91">
    <w:pPr>
      <w:pStyle w:val="18"/>
      <w:jc w:val="center"/>
    </w:pPr>
    <w:r>
      <w:fldChar w:fldCharType="begin"/>
    </w:r>
    <w:r>
      <w:instrText xml:space="preserve"> PAGE   \* MERGEFORMAT </w:instrText>
    </w:r>
    <w:r>
      <w:fldChar w:fldCharType="separate"/>
    </w:r>
    <w:r>
      <w:rPr>
        <w:lang w:val="zh-CN"/>
      </w:rPr>
      <w:t>29</w:t>
    </w:r>
    <w:r>
      <w:rPr>
        <w:lang w:val="zh-CN"/>
      </w:rPr>
      <w:fldChar w:fldCharType="end"/>
    </w:r>
  </w:p>
  <w:p w14:paraId="5CB4C02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DCF2">
    <w:pPr>
      <w:pStyle w:val="18"/>
      <w:framePr w:wrap="around" w:vAnchor="text" w:hAnchor="margin" w:xAlign="center" w:y="1"/>
      <w:jc w:val="center"/>
      <w:rPr>
        <w:rStyle w:val="28"/>
      </w:rPr>
    </w:pPr>
    <w:r>
      <w:fldChar w:fldCharType="begin"/>
    </w:r>
    <w:r>
      <w:rPr>
        <w:rStyle w:val="28"/>
      </w:rPr>
      <w:instrText xml:space="preserve">PAGE  </w:instrText>
    </w:r>
    <w:r>
      <w:fldChar w:fldCharType="separate"/>
    </w:r>
    <w:r>
      <w:rPr>
        <w:rStyle w:val="28"/>
      </w:rPr>
      <w:t>70</w:t>
    </w:r>
    <w:r>
      <w:fldChar w:fldCharType="end"/>
    </w:r>
  </w:p>
  <w:p w14:paraId="109BFF15">
    <w:pPr>
      <w:pStyle w:val="18"/>
      <w:framePr w:wrap="around" w:vAnchor="text" w:hAnchor="margin" w:xAlign="center" w:y="1"/>
      <w:rPr>
        <w:rStyle w:val="28"/>
      </w:rPr>
    </w:pPr>
  </w:p>
  <w:p w14:paraId="5F70A489">
    <w:pPr>
      <w:pStyle w:val="18"/>
      <w:ind w:right="360" w:firstLine="4140" w:firstLineChars="23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7663">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8B24">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ZDQ1NjE1MzE1ODA2NmNiZGZkMTU5ZGFjNzZhNWQifQ=="/>
  </w:docVars>
  <w:rsids>
    <w:rsidRoot w:val="00172A27"/>
    <w:rsid w:val="00012083"/>
    <w:rsid w:val="000155B4"/>
    <w:rsid w:val="00021E30"/>
    <w:rsid w:val="00023E25"/>
    <w:rsid w:val="000249C9"/>
    <w:rsid w:val="00024A48"/>
    <w:rsid w:val="00026362"/>
    <w:rsid w:val="00030BE5"/>
    <w:rsid w:val="00030F3B"/>
    <w:rsid w:val="00032E6D"/>
    <w:rsid w:val="00036590"/>
    <w:rsid w:val="00036696"/>
    <w:rsid w:val="00046AAF"/>
    <w:rsid w:val="00047B9B"/>
    <w:rsid w:val="000514A6"/>
    <w:rsid w:val="00052FBD"/>
    <w:rsid w:val="000535B3"/>
    <w:rsid w:val="000545EF"/>
    <w:rsid w:val="00061B3B"/>
    <w:rsid w:val="00063378"/>
    <w:rsid w:val="0007175F"/>
    <w:rsid w:val="00075DEC"/>
    <w:rsid w:val="00076C72"/>
    <w:rsid w:val="000770A1"/>
    <w:rsid w:val="000862F9"/>
    <w:rsid w:val="00090ABD"/>
    <w:rsid w:val="000916E5"/>
    <w:rsid w:val="000950B1"/>
    <w:rsid w:val="000A41AA"/>
    <w:rsid w:val="000A7DAA"/>
    <w:rsid w:val="000B310F"/>
    <w:rsid w:val="000B5568"/>
    <w:rsid w:val="000B593C"/>
    <w:rsid w:val="000C2A38"/>
    <w:rsid w:val="000C7AA2"/>
    <w:rsid w:val="000D239F"/>
    <w:rsid w:val="000D278A"/>
    <w:rsid w:val="000E2C28"/>
    <w:rsid w:val="000E2DC7"/>
    <w:rsid w:val="000E74EE"/>
    <w:rsid w:val="000F072D"/>
    <w:rsid w:val="000F19F2"/>
    <w:rsid w:val="000F36DD"/>
    <w:rsid w:val="000F3E54"/>
    <w:rsid w:val="000F4F96"/>
    <w:rsid w:val="000F5192"/>
    <w:rsid w:val="00100425"/>
    <w:rsid w:val="00110F76"/>
    <w:rsid w:val="0011114B"/>
    <w:rsid w:val="00112424"/>
    <w:rsid w:val="00112CA7"/>
    <w:rsid w:val="00114227"/>
    <w:rsid w:val="00114F82"/>
    <w:rsid w:val="00120BA9"/>
    <w:rsid w:val="001225D9"/>
    <w:rsid w:val="00122B5C"/>
    <w:rsid w:val="001231C9"/>
    <w:rsid w:val="0012384B"/>
    <w:rsid w:val="001269F6"/>
    <w:rsid w:val="00131BD4"/>
    <w:rsid w:val="001332AC"/>
    <w:rsid w:val="0013357A"/>
    <w:rsid w:val="001365EC"/>
    <w:rsid w:val="001409A6"/>
    <w:rsid w:val="00144BC8"/>
    <w:rsid w:val="00146CE9"/>
    <w:rsid w:val="00147190"/>
    <w:rsid w:val="001473A6"/>
    <w:rsid w:val="00152A82"/>
    <w:rsid w:val="001543F0"/>
    <w:rsid w:val="001549E5"/>
    <w:rsid w:val="00156C98"/>
    <w:rsid w:val="0016195B"/>
    <w:rsid w:val="00163064"/>
    <w:rsid w:val="00170F29"/>
    <w:rsid w:val="00172777"/>
    <w:rsid w:val="00172A27"/>
    <w:rsid w:val="0018120A"/>
    <w:rsid w:val="00181380"/>
    <w:rsid w:val="0018340D"/>
    <w:rsid w:val="001842B5"/>
    <w:rsid w:val="001850F5"/>
    <w:rsid w:val="001909B9"/>
    <w:rsid w:val="00195984"/>
    <w:rsid w:val="00195EBE"/>
    <w:rsid w:val="00197D74"/>
    <w:rsid w:val="001A65F4"/>
    <w:rsid w:val="001A70B7"/>
    <w:rsid w:val="001A70DC"/>
    <w:rsid w:val="001B35B4"/>
    <w:rsid w:val="001B4571"/>
    <w:rsid w:val="001B4717"/>
    <w:rsid w:val="001C1D5A"/>
    <w:rsid w:val="001C2AA5"/>
    <w:rsid w:val="001C2AAD"/>
    <w:rsid w:val="001C3019"/>
    <w:rsid w:val="001C5BF9"/>
    <w:rsid w:val="001D0116"/>
    <w:rsid w:val="001D194F"/>
    <w:rsid w:val="001D2DD3"/>
    <w:rsid w:val="001E4D8E"/>
    <w:rsid w:val="001E6978"/>
    <w:rsid w:val="001E78CD"/>
    <w:rsid w:val="001F66B7"/>
    <w:rsid w:val="002010C4"/>
    <w:rsid w:val="00203C60"/>
    <w:rsid w:val="00205D96"/>
    <w:rsid w:val="00207644"/>
    <w:rsid w:val="00212523"/>
    <w:rsid w:val="00213446"/>
    <w:rsid w:val="00213EC1"/>
    <w:rsid w:val="002163A0"/>
    <w:rsid w:val="002172B8"/>
    <w:rsid w:val="0022466D"/>
    <w:rsid w:val="00225A2C"/>
    <w:rsid w:val="00226D9D"/>
    <w:rsid w:val="0023360A"/>
    <w:rsid w:val="00235788"/>
    <w:rsid w:val="002359B5"/>
    <w:rsid w:val="002365ED"/>
    <w:rsid w:val="00240057"/>
    <w:rsid w:val="00241879"/>
    <w:rsid w:val="002475F3"/>
    <w:rsid w:val="0025431A"/>
    <w:rsid w:val="00254FB2"/>
    <w:rsid w:val="002576FE"/>
    <w:rsid w:val="002606B5"/>
    <w:rsid w:val="00260DD9"/>
    <w:rsid w:val="00261270"/>
    <w:rsid w:val="00271D59"/>
    <w:rsid w:val="00273EB4"/>
    <w:rsid w:val="00274B28"/>
    <w:rsid w:val="00274FA9"/>
    <w:rsid w:val="00277EF2"/>
    <w:rsid w:val="002841C6"/>
    <w:rsid w:val="002849BC"/>
    <w:rsid w:val="0028520F"/>
    <w:rsid w:val="00291375"/>
    <w:rsid w:val="00291BBA"/>
    <w:rsid w:val="002964F6"/>
    <w:rsid w:val="00296A4B"/>
    <w:rsid w:val="002971F3"/>
    <w:rsid w:val="002A0A3A"/>
    <w:rsid w:val="002A10BC"/>
    <w:rsid w:val="002A201D"/>
    <w:rsid w:val="002A5AF6"/>
    <w:rsid w:val="002A6321"/>
    <w:rsid w:val="002A7C5F"/>
    <w:rsid w:val="002B1C88"/>
    <w:rsid w:val="002B399C"/>
    <w:rsid w:val="002B3DF3"/>
    <w:rsid w:val="002B5DB6"/>
    <w:rsid w:val="002B5DEA"/>
    <w:rsid w:val="002B7E68"/>
    <w:rsid w:val="002C17F2"/>
    <w:rsid w:val="002C26F4"/>
    <w:rsid w:val="002C2B53"/>
    <w:rsid w:val="002D0F6F"/>
    <w:rsid w:val="002D23C3"/>
    <w:rsid w:val="002D45E3"/>
    <w:rsid w:val="002E1B2D"/>
    <w:rsid w:val="002E439D"/>
    <w:rsid w:val="002E53C0"/>
    <w:rsid w:val="002E7649"/>
    <w:rsid w:val="002F2E81"/>
    <w:rsid w:val="002F4EEB"/>
    <w:rsid w:val="002F5209"/>
    <w:rsid w:val="002F6BA3"/>
    <w:rsid w:val="00300F80"/>
    <w:rsid w:val="0031030A"/>
    <w:rsid w:val="00310CCB"/>
    <w:rsid w:val="0031456F"/>
    <w:rsid w:val="003150C6"/>
    <w:rsid w:val="00320067"/>
    <w:rsid w:val="0032086A"/>
    <w:rsid w:val="00323FAD"/>
    <w:rsid w:val="00331358"/>
    <w:rsid w:val="00331EB9"/>
    <w:rsid w:val="00333722"/>
    <w:rsid w:val="00333F4B"/>
    <w:rsid w:val="00340876"/>
    <w:rsid w:val="00340ED2"/>
    <w:rsid w:val="003439F6"/>
    <w:rsid w:val="0034447A"/>
    <w:rsid w:val="00351E95"/>
    <w:rsid w:val="0035243C"/>
    <w:rsid w:val="0035688A"/>
    <w:rsid w:val="00356EB1"/>
    <w:rsid w:val="00364DC1"/>
    <w:rsid w:val="0037000F"/>
    <w:rsid w:val="003747E6"/>
    <w:rsid w:val="003755BA"/>
    <w:rsid w:val="00375E8E"/>
    <w:rsid w:val="0038098F"/>
    <w:rsid w:val="003839A4"/>
    <w:rsid w:val="003842DE"/>
    <w:rsid w:val="00384504"/>
    <w:rsid w:val="00384580"/>
    <w:rsid w:val="003852E8"/>
    <w:rsid w:val="0039423F"/>
    <w:rsid w:val="00396E16"/>
    <w:rsid w:val="003A071D"/>
    <w:rsid w:val="003A1FAB"/>
    <w:rsid w:val="003A3259"/>
    <w:rsid w:val="003A3F66"/>
    <w:rsid w:val="003B0BF1"/>
    <w:rsid w:val="003B0C5F"/>
    <w:rsid w:val="003B392F"/>
    <w:rsid w:val="003B4CDE"/>
    <w:rsid w:val="003B7B66"/>
    <w:rsid w:val="003B7C69"/>
    <w:rsid w:val="003C6BD2"/>
    <w:rsid w:val="003D0022"/>
    <w:rsid w:val="003D36A5"/>
    <w:rsid w:val="003D4817"/>
    <w:rsid w:val="003D4855"/>
    <w:rsid w:val="003E0DFD"/>
    <w:rsid w:val="003E4866"/>
    <w:rsid w:val="003E4A29"/>
    <w:rsid w:val="003F1E89"/>
    <w:rsid w:val="003F281B"/>
    <w:rsid w:val="003F75C5"/>
    <w:rsid w:val="00405F44"/>
    <w:rsid w:val="00407C22"/>
    <w:rsid w:val="004152A2"/>
    <w:rsid w:val="00422670"/>
    <w:rsid w:val="00424D55"/>
    <w:rsid w:val="00431BDA"/>
    <w:rsid w:val="00432F8C"/>
    <w:rsid w:val="004333D7"/>
    <w:rsid w:val="00437A9B"/>
    <w:rsid w:val="00441BB9"/>
    <w:rsid w:val="00442094"/>
    <w:rsid w:val="00445215"/>
    <w:rsid w:val="00445FD4"/>
    <w:rsid w:val="00450F4D"/>
    <w:rsid w:val="00450FCD"/>
    <w:rsid w:val="00452E9D"/>
    <w:rsid w:val="00453DD1"/>
    <w:rsid w:val="00456B1E"/>
    <w:rsid w:val="00465FC7"/>
    <w:rsid w:val="00466577"/>
    <w:rsid w:val="004714CB"/>
    <w:rsid w:val="00473F9F"/>
    <w:rsid w:val="00485A41"/>
    <w:rsid w:val="0049044B"/>
    <w:rsid w:val="004943CE"/>
    <w:rsid w:val="004944F2"/>
    <w:rsid w:val="004950C8"/>
    <w:rsid w:val="00497F58"/>
    <w:rsid w:val="004A0C89"/>
    <w:rsid w:val="004A12D8"/>
    <w:rsid w:val="004A49E1"/>
    <w:rsid w:val="004B1177"/>
    <w:rsid w:val="004B413E"/>
    <w:rsid w:val="004B4688"/>
    <w:rsid w:val="004B5BD1"/>
    <w:rsid w:val="004C1A9C"/>
    <w:rsid w:val="004C299E"/>
    <w:rsid w:val="004C364B"/>
    <w:rsid w:val="004C4C95"/>
    <w:rsid w:val="004C4DC3"/>
    <w:rsid w:val="004C67D2"/>
    <w:rsid w:val="004D1316"/>
    <w:rsid w:val="004D4276"/>
    <w:rsid w:val="004D5A7E"/>
    <w:rsid w:val="004D7662"/>
    <w:rsid w:val="004E1798"/>
    <w:rsid w:val="004E2B4D"/>
    <w:rsid w:val="004E3B9C"/>
    <w:rsid w:val="004E3BCC"/>
    <w:rsid w:val="004E3C21"/>
    <w:rsid w:val="004E3EED"/>
    <w:rsid w:val="004E5201"/>
    <w:rsid w:val="004E59EB"/>
    <w:rsid w:val="00500896"/>
    <w:rsid w:val="005026AE"/>
    <w:rsid w:val="00506F83"/>
    <w:rsid w:val="005107FB"/>
    <w:rsid w:val="00510818"/>
    <w:rsid w:val="00523A0E"/>
    <w:rsid w:val="005305A7"/>
    <w:rsid w:val="00535385"/>
    <w:rsid w:val="005358DA"/>
    <w:rsid w:val="005371B6"/>
    <w:rsid w:val="00537860"/>
    <w:rsid w:val="00537DC7"/>
    <w:rsid w:val="00540776"/>
    <w:rsid w:val="005524F2"/>
    <w:rsid w:val="0055489E"/>
    <w:rsid w:val="00560925"/>
    <w:rsid w:val="00560B67"/>
    <w:rsid w:val="005620E0"/>
    <w:rsid w:val="0056364C"/>
    <w:rsid w:val="0056372A"/>
    <w:rsid w:val="00564ACD"/>
    <w:rsid w:val="00565FBF"/>
    <w:rsid w:val="0057156F"/>
    <w:rsid w:val="005776F6"/>
    <w:rsid w:val="00581C53"/>
    <w:rsid w:val="00584BC4"/>
    <w:rsid w:val="00585E6D"/>
    <w:rsid w:val="00586C2C"/>
    <w:rsid w:val="0058709E"/>
    <w:rsid w:val="00591B1D"/>
    <w:rsid w:val="00591BF2"/>
    <w:rsid w:val="00594731"/>
    <w:rsid w:val="005A56B0"/>
    <w:rsid w:val="005A6591"/>
    <w:rsid w:val="005A65D8"/>
    <w:rsid w:val="005A6C71"/>
    <w:rsid w:val="005B01F6"/>
    <w:rsid w:val="005B1A61"/>
    <w:rsid w:val="005B2B50"/>
    <w:rsid w:val="005B7848"/>
    <w:rsid w:val="005C3059"/>
    <w:rsid w:val="005C48B8"/>
    <w:rsid w:val="005D03A8"/>
    <w:rsid w:val="005D1270"/>
    <w:rsid w:val="005D179E"/>
    <w:rsid w:val="005D232C"/>
    <w:rsid w:val="005D2838"/>
    <w:rsid w:val="005D2D02"/>
    <w:rsid w:val="005D4ACC"/>
    <w:rsid w:val="005E576A"/>
    <w:rsid w:val="005E58C6"/>
    <w:rsid w:val="005E636D"/>
    <w:rsid w:val="0060059C"/>
    <w:rsid w:val="00601E98"/>
    <w:rsid w:val="006073C4"/>
    <w:rsid w:val="00610DFA"/>
    <w:rsid w:val="006113BD"/>
    <w:rsid w:val="006117B2"/>
    <w:rsid w:val="006134FD"/>
    <w:rsid w:val="006147A1"/>
    <w:rsid w:val="0061567A"/>
    <w:rsid w:val="00616F44"/>
    <w:rsid w:val="006213D2"/>
    <w:rsid w:val="00622624"/>
    <w:rsid w:val="00623671"/>
    <w:rsid w:val="00623EE4"/>
    <w:rsid w:val="0063249C"/>
    <w:rsid w:val="0063281D"/>
    <w:rsid w:val="00632D88"/>
    <w:rsid w:val="00636043"/>
    <w:rsid w:val="0063664B"/>
    <w:rsid w:val="00636DE6"/>
    <w:rsid w:val="00644E51"/>
    <w:rsid w:val="0064672B"/>
    <w:rsid w:val="00650078"/>
    <w:rsid w:val="0065610F"/>
    <w:rsid w:val="0066037E"/>
    <w:rsid w:val="006607AE"/>
    <w:rsid w:val="006643DE"/>
    <w:rsid w:val="00666285"/>
    <w:rsid w:val="006671A7"/>
    <w:rsid w:val="00667F19"/>
    <w:rsid w:val="006705A9"/>
    <w:rsid w:val="00672C9E"/>
    <w:rsid w:val="00675F11"/>
    <w:rsid w:val="006775BD"/>
    <w:rsid w:val="00677CDD"/>
    <w:rsid w:val="0068100E"/>
    <w:rsid w:val="0068315A"/>
    <w:rsid w:val="00683587"/>
    <w:rsid w:val="0068738D"/>
    <w:rsid w:val="00694226"/>
    <w:rsid w:val="00694DA8"/>
    <w:rsid w:val="0069613F"/>
    <w:rsid w:val="006A0A20"/>
    <w:rsid w:val="006A2DF1"/>
    <w:rsid w:val="006A7AF5"/>
    <w:rsid w:val="006B0735"/>
    <w:rsid w:val="006B3C63"/>
    <w:rsid w:val="006B51C1"/>
    <w:rsid w:val="006B56B8"/>
    <w:rsid w:val="006B6352"/>
    <w:rsid w:val="006C0C20"/>
    <w:rsid w:val="006C51E0"/>
    <w:rsid w:val="006C69AC"/>
    <w:rsid w:val="006D3564"/>
    <w:rsid w:val="006D6EFE"/>
    <w:rsid w:val="006E1948"/>
    <w:rsid w:val="006E1F56"/>
    <w:rsid w:val="006E6721"/>
    <w:rsid w:val="006E778A"/>
    <w:rsid w:val="006F09CD"/>
    <w:rsid w:val="006F2347"/>
    <w:rsid w:val="006F250B"/>
    <w:rsid w:val="006F30E8"/>
    <w:rsid w:val="006F3FB2"/>
    <w:rsid w:val="00700E35"/>
    <w:rsid w:val="0070307B"/>
    <w:rsid w:val="00704043"/>
    <w:rsid w:val="00704724"/>
    <w:rsid w:val="007074CF"/>
    <w:rsid w:val="00707BD7"/>
    <w:rsid w:val="00711648"/>
    <w:rsid w:val="00712227"/>
    <w:rsid w:val="00712C6D"/>
    <w:rsid w:val="00720FB9"/>
    <w:rsid w:val="0072160A"/>
    <w:rsid w:val="007231A1"/>
    <w:rsid w:val="007240E8"/>
    <w:rsid w:val="007248B5"/>
    <w:rsid w:val="00725803"/>
    <w:rsid w:val="00726C42"/>
    <w:rsid w:val="0073418A"/>
    <w:rsid w:val="007359AA"/>
    <w:rsid w:val="00746E15"/>
    <w:rsid w:val="00747E30"/>
    <w:rsid w:val="00747E36"/>
    <w:rsid w:val="00750457"/>
    <w:rsid w:val="0075194C"/>
    <w:rsid w:val="00752A78"/>
    <w:rsid w:val="00752E80"/>
    <w:rsid w:val="00757A9E"/>
    <w:rsid w:val="00760CAD"/>
    <w:rsid w:val="007620AE"/>
    <w:rsid w:val="007626BE"/>
    <w:rsid w:val="0076308A"/>
    <w:rsid w:val="00766EA6"/>
    <w:rsid w:val="00767F30"/>
    <w:rsid w:val="00771522"/>
    <w:rsid w:val="0077448B"/>
    <w:rsid w:val="00775368"/>
    <w:rsid w:val="00775637"/>
    <w:rsid w:val="00775658"/>
    <w:rsid w:val="0077668C"/>
    <w:rsid w:val="00776D9C"/>
    <w:rsid w:val="007774F0"/>
    <w:rsid w:val="0079144E"/>
    <w:rsid w:val="00795F21"/>
    <w:rsid w:val="007979F6"/>
    <w:rsid w:val="007A13ED"/>
    <w:rsid w:val="007A1F25"/>
    <w:rsid w:val="007A2933"/>
    <w:rsid w:val="007A6BB1"/>
    <w:rsid w:val="007B02A0"/>
    <w:rsid w:val="007B5A9E"/>
    <w:rsid w:val="007B7E4E"/>
    <w:rsid w:val="007C126F"/>
    <w:rsid w:val="007C2A13"/>
    <w:rsid w:val="007C2FF1"/>
    <w:rsid w:val="007C7382"/>
    <w:rsid w:val="007D081B"/>
    <w:rsid w:val="007D4000"/>
    <w:rsid w:val="007D7B6E"/>
    <w:rsid w:val="007D7D72"/>
    <w:rsid w:val="007F03E3"/>
    <w:rsid w:val="007F25DD"/>
    <w:rsid w:val="007F2AE4"/>
    <w:rsid w:val="007F4142"/>
    <w:rsid w:val="007F4A6E"/>
    <w:rsid w:val="00803598"/>
    <w:rsid w:val="0080460E"/>
    <w:rsid w:val="00811F4A"/>
    <w:rsid w:val="00817370"/>
    <w:rsid w:val="00822B22"/>
    <w:rsid w:val="00822FC7"/>
    <w:rsid w:val="00826653"/>
    <w:rsid w:val="00826721"/>
    <w:rsid w:val="00827D24"/>
    <w:rsid w:val="008301C3"/>
    <w:rsid w:val="00831B1C"/>
    <w:rsid w:val="0084574F"/>
    <w:rsid w:val="00846117"/>
    <w:rsid w:val="00847B3B"/>
    <w:rsid w:val="00852FC5"/>
    <w:rsid w:val="00855CD4"/>
    <w:rsid w:val="00861CF9"/>
    <w:rsid w:val="00862794"/>
    <w:rsid w:val="0086498E"/>
    <w:rsid w:val="0086716F"/>
    <w:rsid w:val="00870760"/>
    <w:rsid w:val="0087170B"/>
    <w:rsid w:val="00871967"/>
    <w:rsid w:val="00871CEA"/>
    <w:rsid w:val="00872E21"/>
    <w:rsid w:val="008746C9"/>
    <w:rsid w:val="008752FC"/>
    <w:rsid w:val="00883792"/>
    <w:rsid w:val="00887E2B"/>
    <w:rsid w:val="00891DEF"/>
    <w:rsid w:val="00892280"/>
    <w:rsid w:val="00892535"/>
    <w:rsid w:val="008930D9"/>
    <w:rsid w:val="0089355D"/>
    <w:rsid w:val="0089718C"/>
    <w:rsid w:val="008A01E6"/>
    <w:rsid w:val="008A0E95"/>
    <w:rsid w:val="008A448F"/>
    <w:rsid w:val="008A5FEA"/>
    <w:rsid w:val="008B11E9"/>
    <w:rsid w:val="008B76F2"/>
    <w:rsid w:val="008B7FF3"/>
    <w:rsid w:val="008C257E"/>
    <w:rsid w:val="008C6CB1"/>
    <w:rsid w:val="008C7218"/>
    <w:rsid w:val="008D228F"/>
    <w:rsid w:val="008D247B"/>
    <w:rsid w:val="008D6270"/>
    <w:rsid w:val="008E2712"/>
    <w:rsid w:val="008E46C3"/>
    <w:rsid w:val="008F047F"/>
    <w:rsid w:val="008F291F"/>
    <w:rsid w:val="00900387"/>
    <w:rsid w:val="00900810"/>
    <w:rsid w:val="00901C3B"/>
    <w:rsid w:val="0090366A"/>
    <w:rsid w:val="00903B8B"/>
    <w:rsid w:val="00904F86"/>
    <w:rsid w:val="0090624B"/>
    <w:rsid w:val="00907D44"/>
    <w:rsid w:val="0091162F"/>
    <w:rsid w:val="00914046"/>
    <w:rsid w:val="009142C3"/>
    <w:rsid w:val="009146D0"/>
    <w:rsid w:val="0091603D"/>
    <w:rsid w:val="009200B2"/>
    <w:rsid w:val="0092761E"/>
    <w:rsid w:val="0093522A"/>
    <w:rsid w:val="009368DE"/>
    <w:rsid w:val="00936F0C"/>
    <w:rsid w:val="00940523"/>
    <w:rsid w:val="009405CE"/>
    <w:rsid w:val="00941F07"/>
    <w:rsid w:val="0094233A"/>
    <w:rsid w:val="009454A6"/>
    <w:rsid w:val="0094591C"/>
    <w:rsid w:val="00950373"/>
    <w:rsid w:val="00951B1F"/>
    <w:rsid w:val="00953831"/>
    <w:rsid w:val="00953BEE"/>
    <w:rsid w:val="00956059"/>
    <w:rsid w:val="0096014D"/>
    <w:rsid w:val="00960206"/>
    <w:rsid w:val="00962D6B"/>
    <w:rsid w:val="0096444F"/>
    <w:rsid w:val="00965EAF"/>
    <w:rsid w:val="00974848"/>
    <w:rsid w:val="00975458"/>
    <w:rsid w:val="00982364"/>
    <w:rsid w:val="0098438C"/>
    <w:rsid w:val="00986452"/>
    <w:rsid w:val="00986771"/>
    <w:rsid w:val="0099266C"/>
    <w:rsid w:val="00993A0E"/>
    <w:rsid w:val="009A19A6"/>
    <w:rsid w:val="009A3A2E"/>
    <w:rsid w:val="009A6341"/>
    <w:rsid w:val="009A700B"/>
    <w:rsid w:val="009B0722"/>
    <w:rsid w:val="009B18DA"/>
    <w:rsid w:val="009B2FFD"/>
    <w:rsid w:val="009B4037"/>
    <w:rsid w:val="009B7D7A"/>
    <w:rsid w:val="009C0329"/>
    <w:rsid w:val="009C2DF3"/>
    <w:rsid w:val="009C4F54"/>
    <w:rsid w:val="009D30FE"/>
    <w:rsid w:val="009E0FC1"/>
    <w:rsid w:val="009E4DA3"/>
    <w:rsid w:val="00A00AA1"/>
    <w:rsid w:val="00A036AD"/>
    <w:rsid w:val="00A03CD6"/>
    <w:rsid w:val="00A07902"/>
    <w:rsid w:val="00A14B26"/>
    <w:rsid w:val="00A16411"/>
    <w:rsid w:val="00A1778E"/>
    <w:rsid w:val="00A2119A"/>
    <w:rsid w:val="00A23A3E"/>
    <w:rsid w:val="00A32D25"/>
    <w:rsid w:val="00A36535"/>
    <w:rsid w:val="00A36765"/>
    <w:rsid w:val="00A37F95"/>
    <w:rsid w:val="00A41F15"/>
    <w:rsid w:val="00A43E2E"/>
    <w:rsid w:val="00A43FF1"/>
    <w:rsid w:val="00A44658"/>
    <w:rsid w:val="00A50B93"/>
    <w:rsid w:val="00A519E5"/>
    <w:rsid w:val="00A520C3"/>
    <w:rsid w:val="00A53150"/>
    <w:rsid w:val="00A548CF"/>
    <w:rsid w:val="00A5740A"/>
    <w:rsid w:val="00A60FA7"/>
    <w:rsid w:val="00A62EAC"/>
    <w:rsid w:val="00A64F45"/>
    <w:rsid w:val="00A65919"/>
    <w:rsid w:val="00A65BE9"/>
    <w:rsid w:val="00A6632C"/>
    <w:rsid w:val="00A74AEC"/>
    <w:rsid w:val="00A75C3D"/>
    <w:rsid w:val="00A76C03"/>
    <w:rsid w:val="00A773AB"/>
    <w:rsid w:val="00A81435"/>
    <w:rsid w:val="00A916FE"/>
    <w:rsid w:val="00A9206B"/>
    <w:rsid w:val="00A9210B"/>
    <w:rsid w:val="00A93092"/>
    <w:rsid w:val="00A931D8"/>
    <w:rsid w:val="00A95D2A"/>
    <w:rsid w:val="00A977D5"/>
    <w:rsid w:val="00AA0CDA"/>
    <w:rsid w:val="00AA11D9"/>
    <w:rsid w:val="00AA4C0C"/>
    <w:rsid w:val="00AA6674"/>
    <w:rsid w:val="00AB05E9"/>
    <w:rsid w:val="00AB0DE4"/>
    <w:rsid w:val="00AB14E9"/>
    <w:rsid w:val="00AB1C44"/>
    <w:rsid w:val="00AB2703"/>
    <w:rsid w:val="00AB3ABC"/>
    <w:rsid w:val="00AB56BA"/>
    <w:rsid w:val="00AB6BCD"/>
    <w:rsid w:val="00AB74D5"/>
    <w:rsid w:val="00AB78A5"/>
    <w:rsid w:val="00AC163F"/>
    <w:rsid w:val="00AC734C"/>
    <w:rsid w:val="00AC7817"/>
    <w:rsid w:val="00AC7DED"/>
    <w:rsid w:val="00AD2146"/>
    <w:rsid w:val="00AD6B7F"/>
    <w:rsid w:val="00AE0655"/>
    <w:rsid w:val="00AE09CD"/>
    <w:rsid w:val="00AE3877"/>
    <w:rsid w:val="00AE4032"/>
    <w:rsid w:val="00AE6352"/>
    <w:rsid w:val="00AE66DE"/>
    <w:rsid w:val="00AF17B9"/>
    <w:rsid w:val="00AF37E0"/>
    <w:rsid w:val="00AF4FC5"/>
    <w:rsid w:val="00B001A8"/>
    <w:rsid w:val="00B0382A"/>
    <w:rsid w:val="00B03B6D"/>
    <w:rsid w:val="00B105E4"/>
    <w:rsid w:val="00B11966"/>
    <w:rsid w:val="00B24E64"/>
    <w:rsid w:val="00B25409"/>
    <w:rsid w:val="00B26F48"/>
    <w:rsid w:val="00B30A86"/>
    <w:rsid w:val="00B31E9B"/>
    <w:rsid w:val="00B36C34"/>
    <w:rsid w:val="00B40AF3"/>
    <w:rsid w:val="00B411FE"/>
    <w:rsid w:val="00B41A7B"/>
    <w:rsid w:val="00B42755"/>
    <w:rsid w:val="00B50065"/>
    <w:rsid w:val="00B55D94"/>
    <w:rsid w:val="00B57334"/>
    <w:rsid w:val="00B610E8"/>
    <w:rsid w:val="00B61257"/>
    <w:rsid w:val="00B64BBF"/>
    <w:rsid w:val="00B64E8B"/>
    <w:rsid w:val="00B73294"/>
    <w:rsid w:val="00B76EEF"/>
    <w:rsid w:val="00B803D3"/>
    <w:rsid w:val="00B8331B"/>
    <w:rsid w:val="00B83E23"/>
    <w:rsid w:val="00B8425F"/>
    <w:rsid w:val="00B92C8E"/>
    <w:rsid w:val="00B92E68"/>
    <w:rsid w:val="00B93D52"/>
    <w:rsid w:val="00B97A39"/>
    <w:rsid w:val="00BA04C5"/>
    <w:rsid w:val="00BA20CE"/>
    <w:rsid w:val="00BA79AA"/>
    <w:rsid w:val="00BB4125"/>
    <w:rsid w:val="00BB417D"/>
    <w:rsid w:val="00BB4E59"/>
    <w:rsid w:val="00BB78EA"/>
    <w:rsid w:val="00BC0A7B"/>
    <w:rsid w:val="00BC1381"/>
    <w:rsid w:val="00BC39C8"/>
    <w:rsid w:val="00BC51D9"/>
    <w:rsid w:val="00BD009B"/>
    <w:rsid w:val="00BD0A2E"/>
    <w:rsid w:val="00BD2D1F"/>
    <w:rsid w:val="00BD2DB3"/>
    <w:rsid w:val="00BD32D5"/>
    <w:rsid w:val="00BD6506"/>
    <w:rsid w:val="00BD6B38"/>
    <w:rsid w:val="00BE1D03"/>
    <w:rsid w:val="00BE36AF"/>
    <w:rsid w:val="00C04CED"/>
    <w:rsid w:val="00C069CC"/>
    <w:rsid w:val="00C118CA"/>
    <w:rsid w:val="00C13D23"/>
    <w:rsid w:val="00C16983"/>
    <w:rsid w:val="00C17659"/>
    <w:rsid w:val="00C24A62"/>
    <w:rsid w:val="00C273F5"/>
    <w:rsid w:val="00C33849"/>
    <w:rsid w:val="00C33D11"/>
    <w:rsid w:val="00C34DD6"/>
    <w:rsid w:val="00C36ECA"/>
    <w:rsid w:val="00C40220"/>
    <w:rsid w:val="00C42DEE"/>
    <w:rsid w:val="00C44B15"/>
    <w:rsid w:val="00C45563"/>
    <w:rsid w:val="00C462D5"/>
    <w:rsid w:val="00C516C4"/>
    <w:rsid w:val="00C52B52"/>
    <w:rsid w:val="00C56D32"/>
    <w:rsid w:val="00C622C7"/>
    <w:rsid w:val="00C629F2"/>
    <w:rsid w:val="00C63AEE"/>
    <w:rsid w:val="00C64953"/>
    <w:rsid w:val="00C65A31"/>
    <w:rsid w:val="00C66FAA"/>
    <w:rsid w:val="00C717F2"/>
    <w:rsid w:val="00C73679"/>
    <w:rsid w:val="00C737A2"/>
    <w:rsid w:val="00C85494"/>
    <w:rsid w:val="00C86F52"/>
    <w:rsid w:val="00C9009F"/>
    <w:rsid w:val="00C9397E"/>
    <w:rsid w:val="00CA0EF5"/>
    <w:rsid w:val="00CA1473"/>
    <w:rsid w:val="00CA156D"/>
    <w:rsid w:val="00CA2455"/>
    <w:rsid w:val="00CB09AA"/>
    <w:rsid w:val="00CB4038"/>
    <w:rsid w:val="00CB4E66"/>
    <w:rsid w:val="00CC42CF"/>
    <w:rsid w:val="00CC7991"/>
    <w:rsid w:val="00CC7A35"/>
    <w:rsid w:val="00CC7B51"/>
    <w:rsid w:val="00CD1EC4"/>
    <w:rsid w:val="00CD3FCC"/>
    <w:rsid w:val="00CD58DD"/>
    <w:rsid w:val="00CD692D"/>
    <w:rsid w:val="00CE0379"/>
    <w:rsid w:val="00CE433D"/>
    <w:rsid w:val="00CE5821"/>
    <w:rsid w:val="00CE72BF"/>
    <w:rsid w:val="00CF0337"/>
    <w:rsid w:val="00CF03E8"/>
    <w:rsid w:val="00CF2EE9"/>
    <w:rsid w:val="00CF3BCC"/>
    <w:rsid w:val="00CF6CA8"/>
    <w:rsid w:val="00CF7323"/>
    <w:rsid w:val="00CF7F0A"/>
    <w:rsid w:val="00D0053C"/>
    <w:rsid w:val="00D02EB2"/>
    <w:rsid w:val="00D0421D"/>
    <w:rsid w:val="00D058B9"/>
    <w:rsid w:val="00D07223"/>
    <w:rsid w:val="00D073D3"/>
    <w:rsid w:val="00D07F23"/>
    <w:rsid w:val="00D21B2A"/>
    <w:rsid w:val="00D25ED4"/>
    <w:rsid w:val="00D30AC7"/>
    <w:rsid w:val="00D3250B"/>
    <w:rsid w:val="00D35F39"/>
    <w:rsid w:val="00D43B59"/>
    <w:rsid w:val="00D452AE"/>
    <w:rsid w:val="00D50395"/>
    <w:rsid w:val="00D5457B"/>
    <w:rsid w:val="00D574D5"/>
    <w:rsid w:val="00D601B6"/>
    <w:rsid w:val="00D6139C"/>
    <w:rsid w:val="00D66419"/>
    <w:rsid w:val="00D703E9"/>
    <w:rsid w:val="00D710B4"/>
    <w:rsid w:val="00D712BC"/>
    <w:rsid w:val="00D7191E"/>
    <w:rsid w:val="00D80E50"/>
    <w:rsid w:val="00D81F88"/>
    <w:rsid w:val="00D82BA2"/>
    <w:rsid w:val="00D9593A"/>
    <w:rsid w:val="00DA0B7F"/>
    <w:rsid w:val="00DA1093"/>
    <w:rsid w:val="00DA10C4"/>
    <w:rsid w:val="00DA5716"/>
    <w:rsid w:val="00DB00A1"/>
    <w:rsid w:val="00DB27B4"/>
    <w:rsid w:val="00DB2CCC"/>
    <w:rsid w:val="00DB323F"/>
    <w:rsid w:val="00DB370F"/>
    <w:rsid w:val="00DB3EBC"/>
    <w:rsid w:val="00DB43B9"/>
    <w:rsid w:val="00DC0D3C"/>
    <w:rsid w:val="00DC1745"/>
    <w:rsid w:val="00DC50C2"/>
    <w:rsid w:val="00DD2D19"/>
    <w:rsid w:val="00DD6772"/>
    <w:rsid w:val="00DE0FEF"/>
    <w:rsid w:val="00DE2303"/>
    <w:rsid w:val="00DE37FA"/>
    <w:rsid w:val="00DE5D19"/>
    <w:rsid w:val="00DE78C8"/>
    <w:rsid w:val="00DE7FF3"/>
    <w:rsid w:val="00DF29AF"/>
    <w:rsid w:val="00DF3691"/>
    <w:rsid w:val="00DF5A43"/>
    <w:rsid w:val="00E0067D"/>
    <w:rsid w:val="00E04552"/>
    <w:rsid w:val="00E06CC8"/>
    <w:rsid w:val="00E1012A"/>
    <w:rsid w:val="00E10510"/>
    <w:rsid w:val="00E10F55"/>
    <w:rsid w:val="00E11334"/>
    <w:rsid w:val="00E12BC7"/>
    <w:rsid w:val="00E13ABA"/>
    <w:rsid w:val="00E157B3"/>
    <w:rsid w:val="00E215BB"/>
    <w:rsid w:val="00E23028"/>
    <w:rsid w:val="00E247D2"/>
    <w:rsid w:val="00E24DD9"/>
    <w:rsid w:val="00E26E2F"/>
    <w:rsid w:val="00E27235"/>
    <w:rsid w:val="00E32021"/>
    <w:rsid w:val="00E33110"/>
    <w:rsid w:val="00E3515D"/>
    <w:rsid w:val="00E43456"/>
    <w:rsid w:val="00E44CD4"/>
    <w:rsid w:val="00E471E9"/>
    <w:rsid w:val="00E47208"/>
    <w:rsid w:val="00E50C05"/>
    <w:rsid w:val="00E53A6F"/>
    <w:rsid w:val="00E6178E"/>
    <w:rsid w:val="00E61BBB"/>
    <w:rsid w:val="00E6438F"/>
    <w:rsid w:val="00E74600"/>
    <w:rsid w:val="00E76026"/>
    <w:rsid w:val="00E772B5"/>
    <w:rsid w:val="00E77A57"/>
    <w:rsid w:val="00E80722"/>
    <w:rsid w:val="00E810C4"/>
    <w:rsid w:val="00E85FE2"/>
    <w:rsid w:val="00E8768E"/>
    <w:rsid w:val="00E90940"/>
    <w:rsid w:val="00E91C00"/>
    <w:rsid w:val="00EA4A85"/>
    <w:rsid w:val="00EA7A3A"/>
    <w:rsid w:val="00EA7D05"/>
    <w:rsid w:val="00EB3BF4"/>
    <w:rsid w:val="00EB5159"/>
    <w:rsid w:val="00EB5746"/>
    <w:rsid w:val="00EC027A"/>
    <w:rsid w:val="00EC0A83"/>
    <w:rsid w:val="00EC14B7"/>
    <w:rsid w:val="00EC31CF"/>
    <w:rsid w:val="00EC5F22"/>
    <w:rsid w:val="00EC6C18"/>
    <w:rsid w:val="00EC6F47"/>
    <w:rsid w:val="00ED0B54"/>
    <w:rsid w:val="00ED118D"/>
    <w:rsid w:val="00ED1B3A"/>
    <w:rsid w:val="00ED5401"/>
    <w:rsid w:val="00EE459D"/>
    <w:rsid w:val="00EF5E4F"/>
    <w:rsid w:val="00F069D4"/>
    <w:rsid w:val="00F07CE9"/>
    <w:rsid w:val="00F103BF"/>
    <w:rsid w:val="00F22368"/>
    <w:rsid w:val="00F27285"/>
    <w:rsid w:val="00F277F3"/>
    <w:rsid w:val="00F30C7D"/>
    <w:rsid w:val="00F368D9"/>
    <w:rsid w:val="00F373B3"/>
    <w:rsid w:val="00F4713C"/>
    <w:rsid w:val="00F536EA"/>
    <w:rsid w:val="00F55365"/>
    <w:rsid w:val="00F55CD5"/>
    <w:rsid w:val="00F560AE"/>
    <w:rsid w:val="00F600F5"/>
    <w:rsid w:val="00F61219"/>
    <w:rsid w:val="00F64976"/>
    <w:rsid w:val="00F70AF8"/>
    <w:rsid w:val="00F70C4D"/>
    <w:rsid w:val="00F711A3"/>
    <w:rsid w:val="00F71249"/>
    <w:rsid w:val="00F7359C"/>
    <w:rsid w:val="00F73E73"/>
    <w:rsid w:val="00F757E0"/>
    <w:rsid w:val="00F769FE"/>
    <w:rsid w:val="00F85ACE"/>
    <w:rsid w:val="00F87E08"/>
    <w:rsid w:val="00F91579"/>
    <w:rsid w:val="00F91A07"/>
    <w:rsid w:val="00F94D3A"/>
    <w:rsid w:val="00F95518"/>
    <w:rsid w:val="00F9671F"/>
    <w:rsid w:val="00F971D7"/>
    <w:rsid w:val="00F97557"/>
    <w:rsid w:val="00F97DEF"/>
    <w:rsid w:val="00FA12B3"/>
    <w:rsid w:val="00FA2CEC"/>
    <w:rsid w:val="00FA711B"/>
    <w:rsid w:val="00FA77D9"/>
    <w:rsid w:val="00FB05BA"/>
    <w:rsid w:val="00FB08BF"/>
    <w:rsid w:val="00FB141A"/>
    <w:rsid w:val="00FB1A4C"/>
    <w:rsid w:val="00FB5824"/>
    <w:rsid w:val="00FC3DBB"/>
    <w:rsid w:val="00FC6058"/>
    <w:rsid w:val="00FC651B"/>
    <w:rsid w:val="00FD00BE"/>
    <w:rsid w:val="00FD0513"/>
    <w:rsid w:val="00FD1F3B"/>
    <w:rsid w:val="00FD2E0F"/>
    <w:rsid w:val="00FD6F10"/>
    <w:rsid w:val="00FE0078"/>
    <w:rsid w:val="00FE2766"/>
    <w:rsid w:val="00FE3319"/>
    <w:rsid w:val="00FE3691"/>
    <w:rsid w:val="00FE45BE"/>
    <w:rsid w:val="00FF1A0A"/>
    <w:rsid w:val="00FF2511"/>
    <w:rsid w:val="00FF5FAA"/>
    <w:rsid w:val="00FF68F1"/>
    <w:rsid w:val="01035D87"/>
    <w:rsid w:val="01C5531B"/>
    <w:rsid w:val="01FF2390"/>
    <w:rsid w:val="02F54FC6"/>
    <w:rsid w:val="041B62EB"/>
    <w:rsid w:val="041D47D5"/>
    <w:rsid w:val="04583728"/>
    <w:rsid w:val="04770389"/>
    <w:rsid w:val="048629D4"/>
    <w:rsid w:val="04953539"/>
    <w:rsid w:val="04CE06EC"/>
    <w:rsid w:val="0623067D"/>
    <w:rsid w:val="066C39D8"/>
    <w:rsid w:val="06F602D7"/>
    <w:rsid w:val="077435D6"/>
    <w:rsid w:val="07792C33"/>
    <w:rsid w:val="088176B4"/>
    <w:rsid w:val="09176380"/>
    <w:rsid w:val="094A0F84"/>
    <w:rsid w:val="09DB5D48"/>
    <w:rsid w:val="0A115F02"/>
    <w:rsid w:val="0AB70EAA"/>
    <w:rsid w:val="0AD83203"/>
    <w:rsid w:val="0B397448"/>
    <w:rsid w:val="0B534F80"/>
    <w:rsid w:val="0B64321A"/>
    <w:rsid w:val="0B6C4CC1"/>
    <w:rsid w:val="0BA8751B"/>
    <w:rsid w:val="0BED75B5"/>
    <w:rsid w:val="0C0E5543"/>
    <w:rsid w:val="0C7E3CF7"/>
    <w:rsid w:val="0C9B7B18"/>
    <w:rsid w:val="0D7D14E6"/>
    <w:rsid w:val="0DFB078B"/>
    <w:rsid w:val="0E187889"/>
    <w:rsid w:val="0E35098D"/>
    <w:rsid w:val="0ECF6B21"/>
    <w:rsid w:val="0F6924BD"/>
    <w:rsid w:val="0F9F36BB"/>
    <w:rsid w:val="0FDF61E6"/>
    <w:rsid w:val="0FE70DA8"/>
    <w:rsid w:val="10D8609E"/>
    <w:rsid w:val="10DE7079"/>
    <w:rsid w:val="120A1670"/>
    <w:rsid w:val="12321383"/>
    <w:rsid w:val="13326B74"/>
    <w:rsid w:val="134D580E"/>
    <w:rsid w:val="135B0CAE"/>
    <w:rsid w:val="13A9151A"/>
    <w:rsid w:val="13AE369B"/>
    <w:rsid w:val="14617CF3"/>
    <w:rsid w:val="15C70A44"/>
    <w:rsid w:val="164865CE"/>
    <w:rsid w:val="16C6734D"/>
    <w:rsid w:val="173B0CF8"/>
    <w:rsid w:val="175B6548"/>
    <w:rsid w:val="17811175"/>
    <w:rsid w:val="17FA54AA"/>
    <w:rsid w:val="1819252C"/>
    <w:rsid w:val="183D3240"/>
    <w:rsid w:val="18C179CD"/>
    <w:rsid w:val="19F462E8"/>
    <w:rsid w:val="1A803273"/>
    <w:rsid w:val="1A8F276B"/>
    <w:rsid w:val="1B0D0A0C"/>
    <w:rsid w:val="1B6503BC"/>
    <w:rsid w:val="1BB93B82"/>
    <w:rsid w:val="1D45194B"/>
    <w:rsid w:val="1EC72B9C"/>
    <w:rsid w:val="20316300"/>
    <w:rsid w:val="205B5D53"/>
    <w:rsid w:val="20617661"/>
    <w:rsid w:val="218912A4"/>
    <w:rsid w:val="21B143AB"/>
    <w:rsid w:val="22C91C25"/>
    <w:rsid w:val="236B6EB3"/>
    <w:rsid w:val="23D22A8E"/>
    <w:rsid w:val="23F46EA8"/>
    <w:rsid w:val="249302AE"/>
    <w:rsid w:val="24B27A9D"/>
    <w:rsid w:val="255C6104"/>
    <w:rsid w:val="258D2496"/>
    <w:rsid w:val="25BF2294"/>
    <w:rsid w:val="25F84C0E"/>
    <w:rsid w:val="26670816"/>
    <w:rsid w:val="27181100"/>
    <w:rsid w:val="279F26E5"/>
    <w:rsid w:val="280B28FB"/>
    <w:rsid w:val="283B202B"/>
    <w:rsid w:val="28E15521"/>
    <w:rsid w:val="29217F3C"/>
    <w:rsid w:val="299F7A89"/>
    <w:rsid w:val="29C43FF1"/>
    <w:rsid w:val="2A754259"/>
    <w:rsid w:val="2AEB3A0F"/>
    <w:rsid w:val="2B301DA4"/>
    <w:rsid w:val="2B8B1657"/>
    <w:rsid w:val="2BD2389D"/>
    <w:rsid w:val="2BDA5DD5"/>
    <w:rsid w:val="2C8120D8"/>
    <w:rsid w:val="2CC526D7"/>
    <w:rsid w:val="2D4F4916"/>
    <w:rsid w:val="2E29045C"/>
    <w:rsid w:val="2E4C37F6"/>
    <w:rsid w:val="303421D9"/>
    <w:rsid w:val="31515325"/>
    <w:rsid w:val="32E00CA6"/>
    <w:rsid w:val="32EE540A"/>
    <w:rsid w:val="33347296"/>
    <w:rsid w:val="336820A7"/>
    <w:rsid w:val="34857ABA"/>
    <w:rsid w:val="34F152D1"/>
    <w:rsid w:val="351C625F"/>
    <w:rsid w:val="35692A4E"/>
    <w:rsid w:val="35D45F0F"/>
    <w:rsid w:val="36427319"/>
    <w:rsid w:val="36815206"/>
    <w:rsid w:val="36B060E9"/>
    <w:rsid w:val="36D27BA5"/>
    <w:rsid w:val="36F30A6D"/>
    <w:rsid w:val="37963E29"/>
    <w:rsid w:val="37D50FEE"/>
    <w:rsid w:val="38953355"/>
    <w:rsid w:val="39553BDD"/>
    <w:rsid w:val="398071D5"/>
    <w:rsid w:val="3AFB2473"/>
    <w:rsid w:val="3B3269CB"/>
    <w:rsid w:val="3BDB2480"/>
    <w:rsid w:val="3C7834D1"/>
    <w:rsid w:val="3D9E7347"/>
    <w:rsid w:val="3E9C5D1B"/>
    <w:rsid w:val="3EFC2D50"/>
    <w:rsid w:val="3F6279FE"/>
    <w:rsid w:val="3F9E0124"/>
    <w:rsid w:val="400B3176"/>
    <w:rsid w:val="40352DCC"/>
    <w:rsid w:val="41D2400B"/>
    <w:rsid w:val="41E42327"/>
    <w:rsid w:val="42156510"/>
    <w:rsid w:val="42765F64"/>
    <w:rsid w:val="42D22374"/>
    <w:rsid w:val="42D45294"/>
    <w:rsid w:val="42F81D62"/>
    <w:rsid w:val="44EA21D1"/>
    <w:rsid w:val="45412BC0"/>
    <w:rsid w:val="474859D1"/>
    <w:rsid w:val="482247C1"/>
    <w:rsid w:val="487A6A30"/>
    <w:rsid w:val="4A3E34D1"/>
    <w:rsid w:val="4A425B4E"/>
    <w:rsid w:val="4A9459DD"/>
    <w:rsid w:val="4A9526CD"/>
    <w:rsid w:val="4AD90E7B"/>
    <w:rsid w:val="4BE8784A"/>
    <w:rsid w:val="4BEA25F2"/>
    <w:rsid w:val="4C942DD4"/>
    <w:rsid w:val="4D6E4C0D"/>
    <w:rsid w:val="4DB90697"/>
    <w:rsid w:val="4DD31505"/>
    <w:rsid w:val="4E202607"/>
    <w:rsid w:val="4EAA668A"/>
    <w:rsid w:val="502D24CF"/>
    <w:rsid w:val="50933D8E"/>
    <w:rsid w:val="50CB3D7B"/>
    <w:rsid w:val="51477D64"/>
    <w:rsid w:val="517C4E77"/>
    <w:rsid w:val="521E57D7"/>
    <w:rsid w:val="532D10B1"/>
    <w:rsid w:val="539D0000"/>
    <w:rsid w:val="546572A4"/>
    <w:rsid w:val="549E4143"/>
    <w:rsid w:val="5579070C"/>
    <w:rsid w:val="55D83373"/>
    <w:rsid w:val="55D93BF4"/>
    <w:rsid w:val="55DC0E37"/>
    <w:rsid w:val="56B51C18"/>
    <w:rsid w:val="571A6411"/>
    <w:rsid w:val="57633755"/>
    <w:rsid w:val="57BB220D"/>
    <w:rsid w:val="580663DC"/>
    <w:rsid w:val="58774FA5"/>
    <w:rsid w:val="5A316DF7"/>
    <w:rsid w:val="5ACE7D66"/>
    <w:rsid w:val="5AE34C50"/>
    <w:rsid w:val="5B784218"/>
    <w:rsid w:val="5CC15BD5"/>
    <w:rsid w:val="5D6942A5"/>
    <w:rsid w:val="5EA30218"/>
    <w:rsid w:val="5EFA5BA8"/>
    <w:rsid w:val="5F097CAF"/>
    <w:rsid w:val="5F472E07"/>
    <w:rsid w:val="5F6029CC"/>
    <w:rsid w:val="604D163C"/>
    <w:rsid w:val="60F45A6A"/>
    <w:rsid w:val="61E0223F"/>
    <w:rsid w:val="61E97DA8"/>
    <w:rsid w:val="61F432D4"/>
    <w:rsid w:val="62070D75"/>
    <w:rsid w:val="621E0449"/>
    <w:rsid w:val="631C49B4"/>
    <w:rsid w:val="6327149A"/>
    <w:rsid w:val="63B958D9"/>
    <w:rsid w:val="643220A1"/>
    <w:rsid w:val="66417024"/>
    <w:rsid w:val="66A301CD"/>
    <w:rsid w:val="66BC4F9D"/>
    <w:rsid w:val="67FE6CDF"/>
    <w:rsid w:val="681C38A5"/>
    <w:rsid w:val="68573C15"/>
    <w:rsid w:val="68806DE5"/>
    <w:rsid w:val="69037E08"/>
    <w:rsid w:val="69523F4B"/>
    <w:rsid w:val="69765B60"/>
    <w:rsid w:val="69F264F3"/>
    <w:rsid w:val="6A173310"/>
    <w:rsid w:val="6A2922A9"/>
    <w:rsid w:val="6A4332F2"/>
    <w:rsid w:val="6AE636E0"/>
    <w:rsid w:val="6BBD6431"/>
    <w:rsid w:val="6BBF1CE1"/>
    <w:rsid w:val="6C0C419E"/>
    <w:rsid w:val="6CD00D49"/>
    <w:rsid w:val="6CFC6EF8"/>
    <w:rsid w:val="6DB029E7"/>
    <w:rsid w:val="6DB91992"/>
    <w:rsid w:val="6E533ECD"/>
    <w:rsid w:val="6E83679B"/>
    <w:rsid w:val="6ECA3694"/>
    <w:rsid w:val="6ED31B23"/>
    <w:rsid w:val="6F2D283B"/>
    <w:rsid w:val="70BA0590"/>
    <w:rsid w:val="71A21455"/>
    <w:rsid w:val="71CD5C10"/>
    <w:rsid w:val="71F27DA7"/>
    <w:rsid w:val="7250679B"/>
    <w:rsid w:val="72BA5CD6"/>
    <w:rsid w:val="74A548F4"/>
    <w:rsid w:val="74B524C2"/>
    <w:rsid w:val="75562F36"/>
    <w:rsid w:val="76414E18"/>
    <w:rsid w:val="77975289"/>
    <w:rsid w:val="77C04DF9"/>
    <w:rsid w:val="78165BF2"/>
    <w:rsid w:val="78D10CA9"/>
    <w:rsid w:val="78D930EC"/>
    <w:rsid w:val="78EC1317"/>
    <w:rsid w:val="7A147A65"/>
    <w:rsid w:val="7A453A29"/>
    <w:rsid w:val="7A800A05"/>
    <w:rsid w:val="7BF31135"/>
    <w:rsid w:val="7CC44481"/>
    <w:rsid w:val="7E956012"/>
    <w:rsid w:val="7F2A7B27"/>
    <w:rsid w:val="7FA50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2"/>
    <w:qFormat/>
    <w:uiPriority w:val="0"/>
    <w:pPr>
      <w:keepNext/>
      <w:widowControl/>
      <w:tabs>
        <w:tab w:val="left" w:pos="600"/>
      </w:tabs>
      <w:ind w:left="600" w:hanging="300"/>
      <w:outlineLvl w:val="0"/>
    </w:pPr>
    <w:rPr>
      <w:rFonts w:ascii="楷体_GB2312" w:eastAsia="楷体_GB2312"/>
      <w:color w:val="000000"/>
      <w:sz w:val="30"/>
    </w:rPr>
  </w:style>
  <w:style w:type="paragraph" w:styleId="4">
    <w:name w:val="heading 2"/>
    <w:basedOn w:val="1"/>
    <w:next w:val="1"/>
    <w:link w:val="35"/>
    <w:qFormat/>
    <w:uiPriority w:val="0"/>
    <w:pPr>
      <w:keepNext/>
      <w:keepLines/>
      <w:tabs>
        <w:tab w:val="left" w:pos="1418"/>
      </w:tabs>
      <w:spacing w:before="200" w:after="100" w:line="500" w:lineRule="atLeast"/>
      <w:ind w:left="1933" w:firstLine="227"/>
      <w:outlineLvl w:val="1"/>
    </w:pPr>
    <w:rPr>
      <w:rFonts w:ascii="黑体" w:hAnsi="Arial" w:eastAsia="黑体"/>
      <w:b/>
      <w:sz w:val="30"/>
    </w:rPr>
  </w:style>
  <w:style w:type="paragraph" w:styleId="5">
    <w:name w:val="heading 3"/>
    <w:basedOn w:val="1"/>
    <w:next w:val="1"/>
    <w:qFormat/>
    <w:uiPriority w:val="0"/>
    <w:pPr>
      <w:keepNext/>
      <w:keepLines/>
      <w:tabs>
        <w:tab w:val="left" w:pos="1134"/>
      </w:tabs>
      <w:spacing w:before="100" w:after="100" w:line="500" w:lineRule="exact"/>
      <w:ind w:firstLine="227"/>
      <w:outlineLvl w:val="2"/>
    </w:pPr>
    <w:rPr>
      <w:rFonts w:eastAsia="黑体"/>
      <w:b/>
      <w:sz w:val="28"/>
      <w:szCs w:val="20"/>
    </w:rPr>
  </w:style>
  <w:style w:type="paragraph" w:styleId="2">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pPr>
  </w:style>
  <w:style w:type="paragraph" w:styleId="7">
    <w:name w:val="Normal Indent"/>
    <w:basedOn w:val="1"/>
    <w:qFormat/>
    <w:uiPriority w:val="0"/>
    <w:pPr>
      <w:ind w:firstLine="420"/>
    </w:pPr>
    <w:rPr>
      <w:szCs w:val="20"/>
    </w:rPr>
  </w:style>
  <w:style w:type="paragraph" w:styleId="8">
    <w:name w:val="Document Map"/>
    <w:basedOn w:val="1"/>
    <w:link w:val="33"/>
    <w:qFormat/>
    <w:uiPriority w:val="0"/>
    <w:pPr>
      <w:shd w:val="clear" w:color="auto" w:fill="000080"/>
      <w:adjustRightInd w:val="0"/>
      <w:jc w:val="left"/>
      <w:textAlignment w:val="baseline"/>
    </w:pPr>
    <w:rPr>
      <w:kern w:val="0"/>
      <w:szCs w:val="20"/>
    </w:rPr>
  </w:style>
  <w:style w:type="paragraph" w:styleId="9">
    <w:name w:val="annotation text"/>
    <w:basedOn w:val="1"/>
    <w:qFormat/>
    <w:uiPriority w:val="0"/>
    <w:pPr>
      <w:jc w:val="left"/>
    </w:pPr>
  </w:style>
  <w:style w:type="paragraph" w:styleId="10">
    <w:name w:val="Body Text"/>
    <w:basedOn w:val="1"/>
    <w:link w:val="37"/>
    <w:qFormat/>
    <w:uiPriority w:val="99"/>
    <w:pPr>
      <w:spacing w:after="120"/>
    </w:pPr>
  </w:style>
  <w:style w:type="paragraph" w:styleId="11">
    <w:name w:val="Body Text Indent"/>
    <w:basedOn w:val="1"/>
    <w:qFormat/>
    <w:uiPriority w:val="0"/>
    <w:pPr>
      <w:spacing w:line="400" w:lineRule="exact"/>
      <w:ind w:firstLine="560" w:firstLineChars="200"/>
    </w:pPr>
    <w:rPr>
      <w:rFonts w:ascii="方正仿宋简体" w:eastAsia="方正仿宋简体"/>
      <w:sz w:val="28"/>
    </w:rPr>
  </w:style>
  <w:style w:type="paragraph" w:styleId="12">
    <w:name w:val="toc 3"/>
    <w:basedOn w:val="1"/>
    <w:next w:val="1"/>
    <w:qFormat/>
    <w:uiPriority w:val="0"/>
    <w:pPr>
      <w:ind w:left="840" w:leftChars="400"/>
    </w:pPr>
  </w:style>
  <w:style w:type="paragraph" w:styleId="13">
    <w:name w:val="Plain Text"/>
    <w:basedOn w:val="1"/>
    <w:link w:val="36"/>
    <w:qFormat/>
    <w:uiPriority w:val="0"/>
    <w:rPr>
      <w:rFonts w:ascii="宋体" w:hAnsi="Courier New"/>
      <w:szCs w:val="20"/>
    </w:rPr>
  </w:style>
  <w:style w:type="paragraph" w:styleId="14">
    <w:name w:val="toc 8"/>
    <w:basedOn w:val="1"/>
    <w:next w:val="1"/>
    <w:qFormat/>
    <w:uiPriority w:val="0"/>
    <w:pPr>
      <w:ind w:left="1470"/>
      <w:jc w:val="left"/>
    </w:pPr>
  </w:style>
  <w:style w:type="paragraph" w:styleId="15">
    <w:name w:val="Date"/>
    <w:basedOn w:val="1"/>
    <w:next w:val="1"/>
    <w:link w:val="43"/>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34"/>
    <w:qFormat/>
    <w:uiPriority w:val="99"/>
    <w:pPr>
      <w:tabs>
        <w:tab w:val="center" w:pos="4153"/>
        <w:tab w:val="right" w:pos="8306"/>
      </w:tabs>
      <w:snapToGrid w:val="0"/>
      <w:jc w:val="left"/>
    </w:pPr>
    <w:rPr>
      <w:sz w:val="18"/>
      <w:szCs w:val="18"/>
    </w:rPr>
  </w:style>
  <w:style w:type="paragraph" w:styleId="19">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Body Text 2"/>
    <w:basedOn w:val="1"/>
    <w:qFormat/>
    <w:uiPriority w:val="0"/>
    <w:pPr>
      <w:spacing w:line="600" w:lineRule="exact"/>
    </w:pPr>
    <w:rPr>
      <w:rFonts w:ascii="宋体" w:hAnsi="宋体"/>
      <w:sz w:val="36"/>
      <w:u w:val="single"/>
    </w:rPr>
  </w:style>
  <w:style w:type="paragraph" w:styleId="22">
    <w:name w:val="Normal (Web)"/>
    <w:basedOn w:val="1"/>
    <w:qFormat/>
    <w:uiPriority w:val="0"/>
    <w:pPr>
      <w:jc w:val="left"/>
    </w:pPr>
    <w:rPr>
      <w:kern w:val="0"/>
    </w:rPr>
  </w:style>
  <w:style w:type="paragraph" w:styleId="23">
    <w:name w:val="Body Text First Indent"/>
    <w:basedOn w:val="10"/>
    <w:link w:val="65"/>
    <w:qFormat/>
    <w:uiPriority w:val="0"/>
    <w:pPr>
      <w:ind w:firstLine="420" w:firstLineChars="100"/>
    </w:pPr>
    <w:rPr>
      <w:sz w:val="21"/>
    </w:rPr>
  </w:style>
  <w:style w:type="paragraph" w:styleId="24">
    <w:name w:val="Body Text First Indent 2"/>
    <w:basedOn w:val="11"/>
    <w:next w:val="23"/>
    <w:qFormat/>
    <w:uiPriority w:val="0"/>
    <w:pPr>
      <w:ind w:firstLine="420"/>
    </w:p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page number"/>
    <w:basedOn w:val="27"/>
    <w:qFormat/>
    <w:uiPriority w:val="0"/>
  </w:style>
  <w:style w:type="character" w:styleId="29">
    <w:name w:val="FollowedHyperlink"/>
    <w:basedOn w:val="27"/>
    <w:qFormat/>
    <w:uiPriority w:val="0"/>
    <w:rPr>
      <w:color w:val="333333"/>
      <w:u w:val="none"/>
    </w:rPr>
  </w:style>
  <w:style w:type="character" w:styleId="30">
    <w:name w:val="Hyperlink"/>
    <w:basedOn w:val="27"/>
    <w:qFormat/>
    <w:uiPriority w:val="0"/>
    <w:rPr>
      <w:color w:val="333333"/>
      <w:u w:val="none"/>
    </w:rPr>
  </w:style>
  <w:style w:type="paragraph" w:customStyle="1" w:styleId="31">
    <w:name w:val="No Spacing1"/>
    <w:basedOn w:val="1"/>
    <w:qFormat/>
    <w:uiPriority w:val="0"/>
    <w:pPr>
      <w:tabs>
        <w:tab w:val="left" w:pos="737"/>
      </w:tabs>
      <w:spacing w:line="400" w:lineRule="exact"/>
    </w:pPr>
  </w:style>
  <w:style w:type="character" w:customStyle="1" w:styleId="32">
    <w:name w:val="标题 1 字符"/>
    <w:link w:val="3"/>
    <w:qFormat/>
    <w:uiPriority w:val="0"/>
    <w:rPr>
      <w:rFonts w:ascii="楷体_GB2312" w:eastAsia="楷体_GB2312"/>
      <w:color w:val="000000"/>
      <w:kern w:val="2"/>
      <w:sz w:val="30"/>
      <w:szCs w:val="24"/>
      <w:lang w:val="en-US" w:eastAsia="zh-CN" w:bidi="ar-SA"/>
    </w:rPr>
  </w:style>
  <w:style w:type="character" w:customStyle="1" w:styleId="33">
    <w:name w:val="文档结构图 字符"/>
    <w:link w:val="8"/>
    <w:qFormat/>
    <w:uiPriority w:val="0"/>
    <w:rPr>
      <w:rFonts w:eastAsia="宋体"/>
      <w:sz w:val="21"/>
      <w:lang w:val="en-US" w:eastAsia="zh-CN" w:bidi="ar-SA"/>
    </w:rPr>
  </w:style>
  <w:style w:type="character" w:customStyle="1" w:styleId="34">
    <w:name w:val="页脚 字符"/>
    <w:link w:val="18"/>
    <w:qFormat/>
    <w:uiPriority w:val="99"/>
    <w:rPr>
      <w:rFonts w:eastAsia="宋体"/>
      <w:kern w:val="2"/>
      <w:sz w:val="18"/>
      <w:szCs w:val="18"/>
      <w:lang w:val="en-US" w:eastAsia="zh-CN" w:bidi="ar-SA"/>
    </w:rPr>
  </w:style>
  <w:style w:type="character" w:customStyle="1" w:styleId="35">
    <w:name w:val="标题 2 字符"/>
    <w:link w:val="4"/>
    <w:qFormat/>
    <w:uiPriority w:val="0"/>
    <w:rPr>
      <w:rFonts w:ascii="黑体" w:hAnsi="Arial" w:eastAsia="黑体"/>
      <w:b/>
      <w:kern w:val="2"/>
      <w:sz w:val="30"/>
      <w:szCs w:val="24"/>
      <w:lang w:val="en-US" w:eastAsia="zh-CN" w:bidi="ar-SA"/>
    </w:rPr>
  </w:style>
  <w:style w:type="character" w:customStyle="1" w:styleId="36">
    <w:name w:val="纯文本 字符"/>
    <w:link w:val="13"/>
    <w:qFormat/>
    <w:locked/>
    <w:uiPriority w:val="0"/>
    <w:rPr>
      <w:rFonts w:ascii="宋体" w:hAnsi="Courier New"/>
      <w:kern w:val="2"/>
      <w:sz w:val="21"/>
    </w:rPr>
  </w:style>
  <w:style w:type="character" w:customStyle="1" w:styleId="37">
    <w:name w:val="正文文本 字符"/>
    <w:link w:val="10"/>
    <w:qFormat/>
    <w:uiPriority w:val="99"/>
    <w:rPr>
      <w:kern w:val="2"/>
      <w:sz w:val="21"/>
      <w:szCs w:val="24"/>
    </w:rPr>
  </w:style>
  <w:style w:type="character" w:customStyle="1" w:styleId="38">
    <w:name w:val="页眉 字符"/>
    <w:link w:val="19"/>
    <w:qFormat/>
    <w:uiPriority w:val="0"/>
    <w:rPr>
      <w:rFonts w:eastAsia="宋体"/>
      <w:kern w:val="2"/>
      <w:sz w:val="18"/>
      <w:szCs w:val="18"/>
      <w:lang w:val="en-US" w:eastAsia="zh-CN" w:bidi="ar-SA"/>
    </w:rPr>
  </w:style>
  <w:style w:type="character" w:customStyle="1" w:styleId="39">
    <w:name w:val="Char Char Char Char Char Char Char Char Char"/>
    <w:link w:val="40"/>
    <w:qFormat/>
    <w:uiPriority w:val="0"/>
    <w:rPr>
      <w:rFonts w:eastAsia="宋体"/>
      <w:kern w:val="2"/>
      <w:sz w:val="21"/>
      <w:lang w:val="en-US" w:eastAsia="zh-CN" w:bidi="ar-SA"/>
    </w:rPr>
  </w:style>
  <w:style w:type="paragraph" w:customStyle="1" w:styleId="40">
    <w:name w:val="Char Char Char Char Char Char Char"/>
    <w:basedOn w:val="1"/>
    <w:link w:val="39"/>
    <w:qFormat/>
    <w:uiPriority w:val="0"/>
    <w:rPr>
      <w:szCs w:val="20"/>
    </w:rPr>
  </w:style>
  <w:style w:type="character" w:customStyle="1" w:styleId="41">
    <w:name w:val="(标书)正文 Char Char"/>
    <w:link w:val="42"/>
    <w:qFormat/>
    <w:uiPriority w:val="0"/>
    <w:rPr>
      <w:rFonts w:eastAsia="宋体" w:cs="宋体"/>
      <w:spacing w:val="10"/>
      <w:kern w:val="2"/>
      <w:sz w:val="24"/>
      <w:szCs w:val="24"/>
      <w:lang w:val="en-US" w:eastAsia="zh-CN" w:bidi="ar-SA"/>
    </w:rPr>
  </w:style>
  <w:style w:type="paragraph" w:customStyle="1" w:styleId="42">
    <w:name w:val="(标书)正文"/>
    <w:basedOn w:val="1"/>
    <w:link w:val="41"/>
    <w:qFormat/>
    <w:uiPriority w:val="0"/>
    <w:pPr>
      <w:spacing w:line="380" w:lineRule="exact"/>
      <w:ind w:firstLine="522"/>
    </w:pPr>
    <w:rPr>
      <w:rFonts w:cs="宋体"/>
      <w:spacing w:val="10"/>
    </w:rPr>
  </w:style>
  <w:style w:type="character" w:customStyle="1" w:styleId="43">
    <w:name w:val="日期 字符"/>
    <w:link w:val="15"/>
    <w:qFormat/>
    <w:uiPriority w:val="0"/>
    <w:rPr>
      <w:kern w:val="2"/>
      <w:sz w:val="21"/>
      <w:szCs w:val="24"/>
    </w:rPr>
  </w:style>
  <w:style w:type="paragraph" w:customStyle="1" w:styleId="44">
    <w:name w:val="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45">
    <w:name w:val="Table Paragraph"/>
    <w:basedOn w:val="1"/>
    <w:qFormat/>
    <w:uiPriority w:val="99"/>
    <w:pPr>
      <w:jc w:val="left"/>
    </w:pPr>
    <w:rPr>
      <w:rFonts w:ascii="宋体" w:hAnsi="宋体" w:cs="宋体"/>
      <w:kern w:val="0"/>
      <w:sz w:val="22"/>
      <w:szCs w:val="22"/>
      <w:lang w:eastAsia="en-US"/>
    </w:rPr>
  </w:style>
  <w:style w:type="paragraph" w:styleId="46">
    <w:name w:val="List Paragraph"/>
    <w:basedOn w:val="1"/>
    <w:qFormat/>
    <w:uiPriority w:val="34"/>
    <w:pPr>
      <w:ind w:firstLine="420" w:firstLineChars="200"/>
    </w:pPr>
    <w:rPr>
      <w:rFonts w:ascii="Calibri" w:hAnsi="Calibri"/>
      <w:szCs w:val="22"/>
    </w:rPr>
  </w:style>
  <w:style w:type="character" w:customStyle="1" w:styleId="47">
    <w:name w:val="sp_r"/>
    <w:basedOn w:val="27"/>
    <w:qFormat/>
    <w:uiPriority w:val="0"/>
  </w:style>
  <w:style w:type="character" w:customStyle="1" w:styleId="48">
    <w:name w:val="sp_l"/>
    <w:basedOn w:val="27"/>
    <w:qFormat/>
    <w:uiPriority w:val="0"/>
  </w:style>
  <w:style w:type="character" w:customStyle="1" w:styleId="49">
    <w:name w:val="sp_time"/>
    <w:basedOn w:val="27"/>
    <w:qFormat/>
    <w:uiPriority w:val="0"/>
    <w:rPr>
      <w:color w:val="999999"/>
      <w:sz w:val="18"/>
      <w:szCs w:val="18"/>
    </w:rPr>
  </w:style>
  <w:style w:type="character" w:customStyle="1" w:styleId="50">
    <w:name w:val="hover"/>
    <w:basedOn w:val="27"/>
    <w:qFormat/>
    <w:uiPriority w:val="0"/>
    <w:rPr>
      <w:color w:val="3D95DF"/>
      <w:bdr w:val="single" w:color="E8E8E8" w:sz="6" w:space="0"/>
    </w:rPr>
  </w:style>
  <w:style w:type="character" w:customStyle="1" w:styleId="51">
    <w:name w:val="hover1"/>
    <w:basedOn w:val="27"/>
    <w:qFormat/>
    <w:uiPriority w:val="0"/>
    <w:rPr>
      <w:color w:val="228BDE"/>
    </w:rPr>
  </w:style>
  <w:style w:type="character" w:customStyle="1" w:styleId="52">
    <w:name w:val="hover2"/>
    <w:basedOn w:val="27"/>
    <w:qFormat/>
    <w:uiPriority w:val="0"/>
  </w:style>
  <w:style w:type="character" w:customStyle="1" w:styleId="53">
    <w:name w:val="seton"/>
    <w:basedOn w:val="27"/>
    <w:qFormat/>
    <w:uiPriority w:val="0"/>
    <w:rPr>
      <w:shd w:val="clear" w:color="auto" w:fill="FF0000"/>
    </w:rPr>
  </w:style>
  <w:style w:type="character" w:customStyle="1" w:styleId="54">
    <w:name w:val="f_r2"/>
    <w:basedOn w:val="27"/>
    <w:qFormat/>
    <w:uiPriority w:val="0"/>
  </w:style>
  <w:style w:type="character" w:customStyle="1" w:styleId="55">
    <w:name w:val="hover14"/>
    <w:basedOn w:val="27"/>
    <w:qFormat/>
    <w:uiPriority w:val="0"/>
    <w:rPr>
      <w:color w:val="004EA2"/>
    </w:rPr>
  </w:style>
  <w:style w:type="character" w:customStyle="1" w:styleId="56">
    <w:name w:val="hover15"/>
    <w:basedOn w:val="27"/>
    <w:qFormat/>
    <w:uiPriority w:val="0"/>
    <w:rPr>
      <w:color w:val="004EA2"/>
    </w:rPr>
  </w:style>
  <w:style w:type="character" w:customStyle="1" w:styleId="57">
    <w:name w:val="tips_hide"/>
    <w:basedOn w:val="27"/>
    <w:qFormat/>
    <w:uiPriority w:val="0"/>
    <w:rPr>
      <w:vanish/>
    </w:rPr>
  </w:style>
  <w:style w:type="character" w:customStyle="1" w:styleId="58">
    <w:name w:val="tips_hide1"/>
    <w:basedOn w:val="27"/>
    <w:qFormat/>
    <w:uiPriority w:val="0"/>
    <w:rPr>
      <w:vanish/>
    </w:rPr>
  </w:style>
  <w:style w:type="character" w:customStyle="1" w:styleId="59">
    <w:name w:val="time_for"/>
    <w:basedOn w:val="27"/>
    <w:qFormat/>
    <w:uiPriority w:val="0"/>
  </w:style>
  <w:style w:type="character" w:customStyle="1" w:styleId="60">
    <w:name w:val="checked2"/>
    <w:basedOn w:val="27"/>
    <w:qFormat/>
    <w:uiPriority w:val="0"/>
  </w:style>
  <w:style w:type="character" w:customStyle="1" w:styleId="61">
    <w:name w:val="zs_qzhy"/>
    <w:basedOn w:val="27"/>
    <w:qFormat/>
    <w:uiPriority w:val="0"/>
  </w:style>
  <w:style w:type="paragraph" w:customStyle="1" w:styleId="62">
    <w:name w:val="列出段落2"/>
    <w:basedOn w:val="1"/>
    <w:unhideWhenUsed/>
    <w:qFormat/>
    <w:uiPriority w:val="99"/>
    <w:pPr>
      <w:spacing w:line="360" w:lineRule="auto"/>
      <w:ind w:firstLine="420" w:firstLineChars="200"/>
    </w:pPr>
  </w:style>
  <w:style w:type="paragraph" w:customStyle="1" w:styleId="63">
    <w:name w:val="_Style 55"/>
    <w:basedOn w:val="1"/>
    <w:next w:val="1"/>
    <w:qFormat/>
    <w:uiPriority w:val="0"/>
    <w:pPr>
      <w:pBdr>
        <w:bottom w:val="single" w:color="auto" w:sz="6" w:space="1"/>
      </w:pBdr>
      <w:jc w:val="center"/>
    </w:pPr>
    <w:rPr>
      <w:rFonts w:ascii="Arial"/>
      <w:vanish/>
      <w:sz w:val="16"/>
    </w:rPr>
  </w:style>
  <w:style w:type="paragraph" w:customStyle="1" w:styleId="64">
    <w:name w:val="_Style 56"/>
    <w:basedOn w:val="1"/>
    <w:next w:val="1"/>
    <w:qFormat/>
    <w:uiPriority w:val="0"/>
    <w:pPr>
      <w:pBdr>
        <w:top w:val="single" w:color="auto" w:sz="6" w:space="1"/>
      </w:pBdr>
      <w:jc w:val="center"/>
    </w:pPr>
    <w:rPr>
      <w:rFonts w:ascii="Arial"/>
      <w:vanish/>
      <w:sz w:val="16"/>
    </w:rPr>
  </w:style>
  <w:style w:type="character" w:customStyle="1" w:styleId="65">
    <w:name w:val="正文文本首行缩进 字符"/>
    <w:basedOn w:val="37"/>
    <w:link w:val="23"/>
    <w:qFormat/>
    <w:uiPriority w:val="0"/>
    <w:rPr>
      <w:kern w:val="2"/>
      <w:sz w:val="21"/>
      <w:szCs w:val="24"/>
    </w:rPr>
  </w:style>
  <w:style w:type="paragraph" w:customStyle="1" w:styleId="66">
    <w:name w:val="Normal Indent1"/>
    <w:basedOn w:val="1"/>
    <w:qFormat/>
    <w:uiPriority w:val="0"/>
    <w:pPr>
      <w:widowControl/>
      <w:ind w:firstLine="420"/>
    </w:pPr>
    <w:rPr>
      <w:rFonts w:ascii="宋体"/>
      <w:kern w:val="0"/>
      <w:sz w:val="20"/>
    </w:rPr>
  </w:style>
  <w:style w:type="character" w:customStyle="1" w:styleId="67">
    <w:name w:val="news_content"/>
    <w:basedOn w:val="2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4892</Words>
  <Characters>5240</Characters>
  <Lines>898</Lines>
  <Paragraphs>872</Paragraphs>
  <TotalTime>58</TotalTime>
  <ScaleCrop>false</ScaleCrop>
  <LinksUpToDate>false</LinksUpToDate>
  <CharactersWithSpaces>5242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2021-09-03T07:20:00Z</dcterms:created>
  <dc:creator>User</dc:creator>
  <cp:lastModifiedBy>安全教育室</cp:lastModifiedBy>
  <cp:lastPrinted>2023-11-26T13:35:00Z</cp:lastPrinted>
  <dcterms:modified xsi:type="dcterms:W3CDTF">2026-06-23T07:11:01Z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C1CE0CA8F4874F6188CFCF2A925DCF41_13</vt:lpwstr>
  </property>
  <property fmtid="{D5CDD505-2E9C-101B-9397-08002B2CF9AE}" pid="4" name="commondata">
    <vt:lpwstr>eyJoZGlkIjoiYTM5M2Q3NmNlNTQ0NjJiYTc5MGQ2MTQ1YTc0YjY5M2UifQ==</vt:lpwstr>
  </property>
  <property fmtid="{D5CDD505-2E9C-101B-9397-08002B2CF9AE}" pid="5" name="KSOTemplateDocerSaveRecord">
    <vt:lpwstr>eyJoZGlkIjoiMzI1OGFmZDEwZjdlNTI4ZTdlMDE0YjhiMzg1ODJkNTEiLCJ1c2VySWQiOiI0NzMwMDI4MDIifQ==</vt:lpwstr>
  </property>
</Properties>
</file>