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07FF1">
      <w:pPr>
        <w:pStyle w:val="11"/>
        <w:keepNext/>
        <w:keepLines/>
        <w:pageBreakBefore w:val="0"/>
        <w:widowControl w:val="0"/>
        <w:kinsoku/>
        <w:wordWrap w:val="0"/>
        <w:overflowPunct/>
        <w:topLinePunct/>
        <w:autoSpaceDE/>
        <w:autoSpaceDN/>
        <w:bidi w:val="0"/>
        <w:adjustRightInd w:val="0"/>
        <w:snapToGrid w:val="0"/>
        <w:spacing w:before="120" w:after="120" w:line="440" w:lineRule="exact"/>
        <w:jc w:val="center"/>
        <w:textAlignment w:val="baseline"/>
        <w:outlineLvl w:val="0"/>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采购需求</w:t>
      </w:r>
    </w:p>
    <w:p w14:paraId="048099BD">
      <w:pPr>
        <w:keepNext/>
        <w:keepLines/>
        <w:pageBreakBefore w:val="0"/>
        <w:widowControl w:val="0"/>
        <w:kinsoku/>
        <w:wordWrap w:val="0"/>
        <w:overflowPunct/>
        <w:topLinePunct/>
        <w:autoSpaceDE/>
        <w:autoSpaceDN/>
        <w:bidi w:val="0"/>
        <w:adjustRightInd w:val="0"/>
        <w:snapToGrid w:val="0"/>
        <w:spacing w:line="312" w:lineRule="auto"/>
        <w:jc w:val="left"/>
        <w:textAlignment w:val="baseline"/>
        <w:rPr>
          <w:rFonts w:hint="eastAsia" w:ascii="方正仿宋_GB2312" w:hAnsi="方正仿宋_GB2312" w:eastAsia="方正仿宋_GB2312" w:cs="方正仿宋_GB2312"/>
          <w:b/>
          <w:bCs/>
          <w:snapToGrid w:val="0"/>
          <w:color w:val="000000"/>
          <w:kern w:val="0"/>
          <w:sz w:val="28"/>
          <w:szCs w:val="28"/>
          <w:lang w:eastAsia="en-US"/>
        </w:rPr>
      </w:pPr>
    </w:p>
    <w:p w14:paraId="4DDC526A">
      <w:pPr>
        <w:keepNext/>
        <w:keepLines/>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b/>
          <w:snapToGrid w:val="0"/>
          <w:color w:val="000000"/>
          <w:kern w:val="0"/>
          <w:sz w:val="28"/>
          <w:szCs w:val="28"/>
          <w:lang w:eastAsia="en-US"/>
        </w:rPr>
      </w:pPr>
      <w:r>
        <w:rPr>
          <w:rFonts w:hint="eastAsia" w:ascii="方正仿宋_GB2312" w:hAnsi="方正仿宋_GB2312" w:eastAsia="方正仿宋_GB2312" w:cs="方正仿宋_GB2312"/>
          <w:b/>
          <w:snapToGrid w:val="0"/>
          <w:color w:val="000000"/>
          <w:kern w:val="0"/>
          <w:sz w:val="28"/>
          <w:szCs w:val="28"/>
          <w:lang w:eastAsia="en-US"/>
        </w:rPr>
        <w:t>一、总体要求</w:t>
      </w:r>
    </w:p>
    <w:p w14:paraId="01ECC7D0">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1</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本</w:t>
      </w:r>
      <w:r>
        <w:rPr>
          <w:rFonts w:hint="eastAsia" w:ascii="方正仿宋_GB2312" w:hAnsi="方正仿宋_GB2312" w:eastAsia="方正仿宋_GB2312" w:cs="方正仿宋_GB2312"/>
          <w:snapToGrid w:val="0"/>
          <w:color w:val="000000"/>
          <w:kern w:val="0"/>
          <w:sz w:val="28"/>
          <w:szCs w:val="28"/>
          <w:lang w:val="en-US" w:eastAsia="zh-CN"/>
        </w:rPr>
        <w:t>项目</w:t>
      </w:r>
      <w:r>
        <w:rPr>
          <w:rFonts w:hint="eastAsia" w:ascii="方正仿宋_GB2312" w:hAnsi="方正仿宋_GB2312" w:eastAsia="方正仿宋_GB2312" w:cs="方正仿宋_GB2312"/>
          <w:snapToGrid w:val="0"/>
          <w:color w:val="000000"/>
          <w:kern w:val="0"/>
          <w:sz w:val="28"/>
          <w:szCs w:val="28"/>
          <w:lang w:eastAsia="en-US"/>
        </w:rPr>
        <w:t>需求</w:t>
      </w:r>
      <w:r>
        <w:rPr>
          <w:rFonts w:hint="eastAsia" w:ascii="方正仿宋_GB2312" w:hAnsi="方正仿宋_GB2312" w:eastAsia="方正仿宋_GB2312" w:cs="方正仿宋_GB2312"/>
          <w:snapToGrid w:val="0"/>
          <w:color w:val="000000"/>
          <w:kern w:val="0"/>
          <w:sz w:val="28"/>
          <w:szCs w:val="28"/>
          <w:lang w:val="en-US" w:eastAsia="zh-CN"/>
        </w:rPr>
        <w:t>涉及</w:t>
      </w:r>
      <w:r>
        <w:rPr>
          <w:rFonts w:hint="eastAsia" w:ascii="方正仿宋_GB2312" w:hAnsi="方正仿宋_GB2312" w:eastAsia="方正仿宋_GB2312" w:cs="方正仿宋_GB2312"/>
          <w:snapToGrid w:val="0"/>
          <w:color w:val="000000"/>
          <w:kern w:val="0"/>
          <w:sz w:val="28"/>
          <w:szCs w:val="28"/>
          <w:lang w:eastAsia="en-US"/>
        </w:rPr>
        <w:t>的品牌型号仅起参考作用，投标人可选用其他品牌型号替代，但这些替代的品牌型号要实质上相当于或优于参考品牌型号及其技术参数性能（配置）要求。</w:t>
      </w:r>
    </w:p>
    <w:p w14:paraId="73BA337A">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2</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凡在“技术参数及性能（配置）要求”中表述为“标配”或“标准配置”的设备，投标人应在投标报价明细表中将其标配参数详细列明，否则该投标无效。</w:t>
      </w:r>
    </w:p>
    <w:p w14:paraId="4955C303">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3</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提供相同品牌产品且通过资格审查、符合性审查的不同供应商参加同一合同项下投标的，按一家供应商计算，评审后得分</w:t>
      </w:r>
      <w:r>
        <w:rPr>
          <w:rFonts w:hint="eastAsia" w:ascii="方正仿宋_GB2312" w:hAnsi="方正仿宋_GB2312" w:eastAsia="方正仿宋_GB2312" w:cs="方正仿宋_GB2312"/>
          <w:snapToGrid w:val="0"/>
          <w:color w:val="000000"/>
          <w:kern w:val="0"/>
          <w:sz w:val="28"/>
          <w:szCs w:val="28"/>
          <w:lang w:val="en-US" w:eastAsia="zh-CN"/>
        </w:rPr>
        <w:t>或性价比</w:t>
      </w:r>
      <w:r>
        <w:rPr>
          <w:rFonts w:hint="eastAsia" w:ascii="方正仿宋_GB2312" w:hAnsi="方正仿宋_GB2312" w:eastAsia="方正仿宋_GB2312" w:cs="方正仿宋_GB2312"/>
          <w:snapToGrid w:val="0"/>
          <w:color w:val="000000"/>
          <w:kern w:val="0"/>
          <w:sz w:val="28"/>
          <w:szCs w:val="28"/>
          <w:lang w:eastAsia="en-US"/>
        </w:rPr>
        <w:t>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7A272606">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4</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4AEAAF83">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5</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163B5979">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b/>
          <w:bCs/>
          <w:snapToGrid w:val="0"/>
          <w:color w:val="auto"/>
          <w:kern w:val="0"/>
          <w:sz w:val="28"/>
          <w:szCs w:val="28"/>
          <w:highlight w:val="none"/>
          <w:lang w:eastAsia="en-US"/>
        </w:rPr>
      </w:pPr>
      <w:r>
        <w:rPr>
          <w:rFonts w:hint="eastAsia" w:ascii="方正仿宋_GB2312" w:hAnsi="方正仿宋_GB2312" w:eastAsia="方正仿宋_GB2312" w:cs="方正仿宋_GB2312"/>
          <w:snapToGrid w:val="0"/>
          <w:color w:val="000000"/>
          <w:kern w:val="0"/>
          <w:sz w:val="28"/>
          <w:szCs w:val="28"/>
          <w:lang w:eastAsia="en-US"/>
        </w:rPr>
        <w:t>6</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“实质性要求”是指招标文件中已经指明不满足则投标无效的条款，或者不能负偏离的条款， 或者采购需求中带“▲”的条款。标注“▲”的条款或要求系指实质性条款或实质性要求，必须满足，如存在负偏离将导致投标被否决。</w:t>
      </w:r>
    </w:p>
    <w:p w14:paraId="74A1C81D">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auto"/>
          <w:kern w:val="0"/>
          <w:sz w:val="28"/>
          <w:szCs w:val="28"/>
          <w:highlight w:val="none"/>
          <w:lang w:eastAsia="en-US"/>
        </w:rPr>
      </w:pPr>
      <w:r>
        <w:rPr>
          <w:rFonts w:hint="eastAsia" w:ascii="方正仿宋_GB2312" w:hAnsi="方正仿宋_GB2312" w:eastAsia="方正仿宋_GB2312" w:cs="方正仿宋_GB2312"/>
          <w:snapToGrid w:val="0"/>
          <w:color w:val="auto"/>
          <w:kern w:val="0"/>
          <w:sz w:val="28"/>
          <w:szCs w:val="28"/>
          <w:highlight w:val="none"/>
          <w:lang w:val="en-US" w:eastAsia="zh-CN"/>
        </w:rPr>
        <w:t>7</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实质性参数（标注“▲”条款）需提供证明材料：</w:t>
      </w:r>
      <w:r>
        <w:rPr>
          <w:rFonts w:hint="eastAsia" w:ascii="方正仿宋_GB2312" w:hAnsi="方正仿宋_GB2312" w:eastAsia="方正仿宋_GB2312" w:cs="方正仿宋_GB2312"/>
          <w:b/>
          <w:bCs/>
          <w:snapToGrid w:val="0"/>
          <w:color w:val="000000"/>
          <w:kern w:val="0"/>
          <w:sz w:val="28"/>
          <w:szCs w:val="28"/>
          <w:lang w:eastAsia="en-US"/>
        </w:rPr>
        <w:t>说明书或技术白皮书或厂家确认盖章有该参数功能的证明材料，否则将可能不予以认可</w:t>
      </w:r>
      <w:r>
        <w:rPr>
          <w:rFonts w:hint="eastAsia" w:ascii="方正仿宋_GB2312" w:hAnsi="方正仿宋_GB2312" w:eastAsia="方正仿宋_GB2312" w:cs="方正仿宋_GB2312"/>
          <w:b/>
          <w:bCs/>
          <w:snapToGrid w:val="0"/>
          <w:color w:val="auto"/>
          <w:kern w:val="0"/>
          <w:sz w:val="28"/>
          <w:szCs w:val="28"/>
          <w:highlight w:val="none"/>
          <w:lang w:eastAsia="en-US"/>
        </w:rPr>
        <w:t>，按负偏离</w:t>
      </w:r>
      <w:r>
        <w:rPr>
          <w:rFonts w:hint="eastAsia" w:ascii="方正仿宋_GB2312" w:hAnsi="方正仿宋_GB2312" w:eastAsia="方正仿宋_GB2312" w:cs="方正仿宋_GB2312"/>
          <w:b/>
          <w:bCs/>
          <w:snapToGrid w:val="0"/>
          <w:color w:val="auto"/>
          <w:kern w:val="0"/>
          <w:sz w:val="28"/>
          <w:szCs w:val="28"/>
          <w:highlight w:val="none"/>
          <w:lang w:val="en-US" w:eastAsia="zh-CN"/>
        </w:rPr>
        <w:t>处理</w:t>
      </w:r>
      <w:r>
        <w:rPr>
          <w:rFonts w:hint="eastAsia" w:ascii="方正仿宋_GB2312" w:hAnsi="方正仿宋_GB2312" w:eastAsia="方正仿宋_GB2312" w:cs="方正仿宋_GB2312"/>
          <w:b/>
          <w:bCs/>
          <w:snapToGrid w:val="0"/>
          <w:color w:val="auto"/>
          <w:kern w:val="0"/>
          <w:sz w:val="28"/>
          <w:szCs w:val="28"/>
          <w:highlight w:val="none"/>
          <w:lang w:eastAsia="en-US"/>
        </w:rPr>
        <w:t>。</w:t>
      </w:r>
    </w:p>
    <w:p w14:paraId="605E9EAD">
      <w:pPr>
        <w:keepNext/>
        <w:keepLines/>
        <w:pageBreakBefore w:val="0"/>
        <w:widowControl w:val="0"/>
        <w:kinsoku/>
        <w:wordWrap w:val="0"/>
        <w:overflowPunct/>
        <w:topLinePunct/>
        <w:autoSpaceDE/>
        <w:autoSpaceDN/>
        <w:bidi w:val="0"/>
        <w:adjustRightInd w:val="0"/>
        <w:snapToGrid w:val="0"/>
        <w:spacing w:line="440" w:lineRule="exact"/>
        <w:ind w:firstLine="498" w:firstLineChars="3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spacing w:val="-57"/>
          <w:kern w:val="0"/>
          <w:sz w:val="28"/>
          <w:szCs w:val="28"/>
          <w:lang w:val="en-US" w:eastAsia="zh-CN"/>
        </w:rPr>
        <w:t>8</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招标文件中所要求提供的证明材料，如为英文文本的请提供中文翻译文本。</w:t>
      </w:r>
    </w:p>
    <w:p w14:paraId="746502D7">
      <w:pPr>
        <w:keepNext/>
        <w:keepLines/>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b/>
          <w:snapToGrid w:val="0"/>
          <w:color w:val="000000"/>
          <w:kern w:val="0"/>
          <w:sz w:val="28"/>
          <w:szCs w:val="28"/>
          <w:lang w:eastAsia="en-US"/>
        </w:rPr>
      </w:pPr>
    </w:p>
    <w:p w14:paraId="7AE4A90E">
      <w:pPr>
        <w:keepNext/>
        <w:keepLines/>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b/>
          <w:snapToGrid w:val="0"/>
          <w:color w:val="000000"/>
          <w:kern w:val="0"/>
          <w:sz w:val="28"/>
          <w:szCs w:val="28"/>
          <w:lang w:eastAsia="en-US"/>
        </w:rPr>
      </w:pPr>
      <w:r>
        <w:rPr>
          <w:rFonts w:hint="eastAsia" w:ascii="方正仿宋_GB2312" w:hAnsi="方正仿宋_GB2312" w:eastAsia="方正仿宋_GB2312" w:cs="方正仿宋_GB2312"/>
          <w:b/>
          <w:snapToGrid w:val="0"/>
          <w:color w:val="000000"/>
          <w:kern w:val="0"/>
          <w:sz w:val="28"/>
          <w:szCs w:val="28"/>
          <w:lang w:eastAsia="en-US"/>
        </w:rPr>
        <w:t>二、技术要求</w:t>
      </w:r>
    </w:p>
    <w:p w14:paraId="2076D0B9">
      <w:pPr>
        <w:keepNext/>
        <w:keepLines/>
        <w:pageBreakBefore w:val="0"/>
        <w:widowControl w:val="0"/>
        <w:suppressLineNumbers w:val="0"/>
        <w:kinsoku/>
        <w:wordWrap w:val="0"/>
        <w:overflowPunct/>
        <w:topLinePunct/>
        <w:autoSpaceDE/>
        <w:autoSpaceDN/>
        <w:bidi w:val="0"/>
        <w:adjustRightInd w:val="0"/>
        <w:snapToGrid w:val="0"/>
        <w:spacing w:line="360" w:lineRule="exact"/>
        <w:ind w:firstLine="560" w:firstLineChars="200"/>
        <w:jc w:val="both"/>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1.项目名称：OT治疗桌采购项目</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2.招标采购预算：拟定控制价单价为1400元，数量20张，合计28000元。</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sz w:val="28"/>
          <w:szCs w:val="28"/>
          <w:lang w:val="en-US" w:eastAsia="zh-CN"/>
        </w:rPr>
        <w:t>3.质保要求：</w:t>
      </w:r>
      <w:r>
        <w:rPr>
          <w:rFonts w:hint="eastAsia" w:ascii="方正仿宋_GB2312" w:hAnsi="方正仿宋_GB2312" w:eastAsia="方正仿宋_GB2312" w:cs="方正仿宋_GB2312"/>
          <w:color w:val="auto"/>
          <w:sz w:val="28"/>
          <w:szCs w:val="28"/>
          <w:lang w:val="en-US" w:eastAsia="zh-CN"/>
        </w:rPr>
        <w:t>质保期≥5年</w:t>
      </w:r>
    </w:p>
    <w:tbl>
      <w:tblPr>
        <w:tblStyle w:val="15"/>
        <w:tblW w:w="9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1"/>
        <w:gridCol w:w="863"/>
        <w:gridCol w:w="1062"/>
        <w:gridCol w:w="7354"/>
      </w:tblGrid>
      <w:tr w14:paraId="43F4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9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C6774A">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一、项目技术参数及</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主要配置</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要求</w:t>
            </w:r>
          </w:p>
        </w:tc>
      </w:tr>
      <w:tr w14:paraId="3053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517D">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序号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E611">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设备名称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D5E0">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数量及单位</w:t>
            </w:r>
          </w:p>
        </w:tc>
        <w:tc>
          <w:tcPr>
            <w:tcW w:w="7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1D0A">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技术参数要求</w:t>
            </w:r>
          </w:p>
        </w:tc>
      </w:tr>
      <w:tr w14:paraId="6B6D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DB10">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3C6482D6">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1DCAE87B">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35962E59">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2423DC40">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24E29948">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w:t>
            </w:r>
          </w:p>
          <w:p w14:paraId="76D5B6F3">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4F07C0CF">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6A8166EE">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29E6864F">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28CED9A4">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3ADC">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44FC68F7">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066070B2">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06921960">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OT</w:t>
            </w:r>
          </w:p>
          <w:p w14:paraId="2F591922">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治</w:t>
            </w:r>
          </w:p>
          <w:p w14:paraId="15F9EBD7">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疗</w:t>
            </w:r>
          </w:p>
          <w:p w14:paraId="39F0F3FC">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桌</w:t>
            </w:r>
          </w:p>
          <w:p w14:paraId="09C29B12">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4ECE2318">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783809BD">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39B5">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default"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20张</w:t>
            </w:r>
          </w:p>
        </w:tc>
        <w:tc>
          <w:tcPr>
            <w:tcW w:w="7354" w:type="dxa"/>
            <w:tcBorders>
              <w:top w:val="single" w:color="000000" w:sz="4" w:space="0"/>
              <w:left w:val="single" w:color="000000" w:sz="4" w:space="0"/>
              <w:bottom w:val="single" w:color="000000" w:sz="4" w:space="0"/>
              <w:right w:val="single" w:color="000000" w:sz="4" w:space="0"/>
            </w:tcBorders>
            <w:shd w:val="clear" w:color="auto" w:fill="auto"/>
            <w:vAlign w:val="top"/>
          </w:tcPr>
          <w:p w14:paraId="15B6662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i w:val="0"/>
                <w:iCs w:val="0"/>
                <w:caps w:val="0"/>
                <w:color w:val="333333"/>
                <w:spacing w:val="0"/>
                <w:sz w:val="28"/>
                <w:szCs w:val="28"/>
                <w:shd w:val="clear" w:fill="FFFFFF"/>
              </w:rPr>
              <w:t>OT治疗桌</w:t>
            </w:r>
            <w:r>
              <w:rPr>
                <w:rFonts w:hint="eastAsia" w:ascii="方正仿宋_GB2312" w:hAnsi="方正仿宋_GB2312" w:eastAsia="方正仿宋_GB2312" w:cs="方正仿宋_GB2312"/>
                <w:sz w:val="28"/>
                <w:szCs w:val="36"/>
              </w:rPr>
              <w:t>主要</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技术参数要求</w:t>
            </w:r>
            <w:r>
              <w:rPr>
                <w:rFonts w:hint="eastAsia" w:ascii="方正仿宋_GB2312" w:hAnsi="方正仿宋_GB2312" w:eastAsia="方正仿宋_GB2312" w:cs="方正仿宋_GB2312"/>
                <w:sz w:val="28"/>
                <w:szCs w:val="36"/>
              </w:rPr>
              <w:t>：</w:t>
            </w:r>
          </w:p>
          <w:p w14:paraId="7BF857C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sz w:val="28"/>
                <w:szCs w:val="36"/>
                <w:lang w:eastAsia="zh-CN"/>
              </w:rPr>
            </w:pPr>
            <w:r>
              <w:rPr>
                <w:rFonts w:hint="eastAsia" w:ascii="方正仿宋_GB2312" w:hAnsi="方正仿宋_GB2312" w:eastAsia="方正仿宋_GB2312" w:cs="方正仿宋_GB2312"/>
                <w:sz w:val="28"/>
                <w:szCs w:val="36"/>
                <w:lang w:val="en-US" w:eastAsia="zh-CN"/>
              </w:rPr>
              <w:t>▲1.</w:t>
            </w:r>
            <w:r>
              <w:rPr>
                <w:rFonts w:hint="eastAsia" w:ascii="方正仿宋_GB2312" w:hAnsi="方正仿宋_GB2312" w:eastAsia="方正仿宋_GB2312" w:cs="方正仿宋_GB2312"/>
                <w:sz w:val="28"/>
                <w:szCs w:val="36"/>
              </w:rPr>
              <w:t>用途：作业训练用桌，桌面高度可调节</w:t>
            </w:r>
            <w:r>
              <w:rPr>
                <w:rFonts w:hint="eastAsia" w:ascii="方正仿宋_GB2312" w:hAnsi="方正仿宋_GB2312" w:eastAsia="方正仿宋_GB2312" w:cs="方正仿宋_GB2312"/>
                <w:sz w:val="28"/>
                <w:szCs w:val="36"/>
                <w:lang w:eastAsia="zh-CN"/>
              </w:rPr>
              <w:t>。</w:t>
            </w:r>
          </w:p>
          <w:p w14:paraId="5D8B1B3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sz w:val="28"/>
                <w:szCs w:val="36"/>
                <w:lang w:eastAsia="zh-CN"/>
              </w:rPr>
            </w:pPr>
            <w:r>
              <w:rPr>
                <w:rFonts w:hint="eastAsia" w:ascii="方正仿宋_GB2312" w:hAnsi="方正仿宋_GB2312" w:eastAsia="方正仿宋_GB2312" w:cs="方正仿宋_GB2312"/>
                <w:sz w:val="28"/>
                <w:szCs w:val="36"/>
                <w:lang w:val="en-US" w:eastAsia="zh-CN"/>
              </w:rPr>
              <w:t>▲2.</w:t>
            </w:r>
            <w:r>
              <w:rPr>
                <w:rFonts w:hint="eastAsia" w:ascii="方正仿宋_GB2312" w:hAnsi="方正仿宋_GB2312" w:eastAsia="方正仿宋_GB2312" w:cs="方正仿宋_GB2312"/>
                <w:sz w:val="28"/>
                <w:szCs w:val="36"/>
              </w:rPr>
              <w:t>结构形式：</w:t>
            </w:r>
            <w:r>
              <w:rPr>
                <w:rFonts w:hint="eastAsia" w:ascii="方正仿宋_GB2312" w:hAnsi="方正仿宋_GB2312" w:eastAsia="方正仿宋_GB2312" w:cs="方正仿宋_GB2312"/>
                <w:sz w:val="28"/>
                <w:szCs w:val="36"/>
                <w:lang w:val="en-US" w:eastAsia="zh-CN"/>
              </w:rPr>
              <w:t>至少包含</w:t>
            </w:r>
            <w:r>
              <w:rPr>
                <w:rFonts w:hint="eastAsia" w:ascii="方正仿宋_GB2312" w:hAnsi="方正仿宋_GB2312" w:eastAsia="方正仿宋_GB2312" w:cs="方正仿宋_GB2312"/>
                <w:sz w:val="28"/>
                <w:szCs w:val="36"/>
              </w:rPr>
              <w:t>底座、升降部分、摇把、桌面、脚垫。</w:t>
            </w:r>
          </w:p>
          <w:p w14:paraId="75445A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sz w:val="28"/>
                <w:szCs w:val="36"/>
                <w:lang w:eastAsia="zh-CN"/>
              </w:rPr>
            </w:pPr>
            <w:r>
              <w:rPr>
                <w:rFonts w:hint="eastAsia" w:ascii="方正仿宋_GB2312" w:hAnsi="方正仿宋_GB2312" w:eastAsia="方正仿宋_GB2312" w:cs="方正仿宋_GB2312"/>
                <w:sz w:val="28"/>
                <w:szCs w:val="36"/>
                <w:lang w:val="en-US" w:eastAsia="zh-CN"/>
              </w:rPr>
              <w:t>▲3.桌面</w:t>
            </w:r>
            <w:r>
              <w:rPr>
                <w:rFonts w:hint="eastAsia" w:ascii="方正仿宋_GB2312" w:hAnsi="方正仿宋_GB2312" w:eastAsia="方正仿宋_GB2312" w:cs="方正仿宋_GB2312"/>
                <w:sz w:val="28"/>
                <w:szCs w:val="36"/>
              </w:rPr>
              <w:t>尺寸（长*宽</w:t>
            </w:r>
            <w:r>
              <w:rPr>
                <w:rFonts w:hint="eastAsia" w:ascii="方正仿宋_GB2312" w:hAnsi="方正仿宋_GB2312" w:eastAsia="方正仿宋_GB2312" w:cs="方正仿宋_GB2312"/>
                <w:sz w:val="28"/>
                <w:szCs w:val="36"/>
                <w:lang w:eastAsia="zh-CN"/>
              </w:rPr>
              <w:t>）：</w:t>
            </w:r>
          </w:p>
          <w:p w14:paraId="5D4C54BA">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left"/>
              <w:textAlignment w:val="auto"/>
              <w:rPr>
                <w:rFonts w:hint="eastAsia" w:ascii="方正仿宋_GB2312" w:hAnsi="方正仿宋_GB2312" w:eastAsia="方正仿宋_GB2312" w:cs="方正仿宋_GB2312"/>
                <w:sz w:val="28"/>
                <w:szCs w:val="36"/>
                <w:lang w:eastAsia="zh-CN"/>
              </w:rPr>
            </w:pPr>
            <w:r>
              <w:rPr>
                <w:rFonts w:hint="eastAsia" w:ascii="方正仿宋_GB2312" w:hAnsi="方正仿宋_GB2312" w:eastAsia="方正仿宋_GB2312" w:cs="方正仿宋_GB2312"/>
                <w:sz w:val="28"/>
                <w:szCs w:val="36"/>
                <w:lang w:val="en-US" w:eastAsia="zh-CN"/>
              </w:rPr>
              <w:t>长</w:t>
            </w:r>
            <w:r>
              <w:rPr>
                <w:rFonts w:hint="eastAsia" w:ascii="方正仿宋_GB2312" w:hAnsi="方正仿宋_GB2312" w:eastAsia="方正仿宋_GB2312" w:cs="方正仿宋_GB2312"/>
                <w:sz w:val="28"/>
                <w:szCs w:val="36"/>
              </w:rPr>
              <w:t>：1600mm±5mm</w:t>
            </w:r>
            <w:r>
              <w:rPr>
                <w:rFonts w:hint="eastAsia" w:ascii="方正仿宋_GB2312" w:hAnsi="方正仿宋_GB2312" w:eastAsia="方正仿宋_GB2312" w:cs="方正仿宋_GB2312"/>
                <w:sz w:val="28"/>
                <w:szCs w:val="36"/>
                <w:lang w:eastAsia="zh-CN"/>
              </w:rPr>
              <w:t>，</w:t>
            </w:r>
          </w:p>
          <w:p w14:paraId="74829939">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left"/>
              <w:textAlignment w:val="auto"/>
              <w:rPr>
                <w:rFonts w:hint="eastAsia"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宽：</w:t>
            </w:r>
            <w:r>
              <w:rPr>
                <w:rFonts w:hint="eastAsia" w:ascii="方正仿宋_GB2312" w:hAnsi="方正仿宋_GB2312" w:eastAsia="方正仿宋_GB2312" w:cs="方正仿宋_GB2312"/>
                <w:sz w:val="28"/>
                <w:szCs w:val="36"/>
              </w:rPr>
              <w:t>800mm±5mm</w:t>
            </w:r>
            <w:r>
              <w:rPr>
                <w:rFonts w:hint="eastAsia" w:ascii="方正仿宋_GB2312" w:hAnsi="方正仿宋_GB2312" w:eastAsia="方正仿宋_GB2312" w:cs="方正仿宋_GB2312"/>
                <w:sz w:val="28"/>
                <w:szCs w:val="36"/>
                <w:lang w:eastAsia="zh-CN"/>
              </w:rPr>
              <w:t>（</w:t>
            </w:r>
            <w:r>
              <w:rPr>
                <w:rFonts w:hint="eastAsia" w:ascii="方正仿宋_GB2312" w:hAnsi="方正仿宋_GB2312" w:eastAsia="方正仿宋_GB2312" w:cs="方正仿宋_GB2312"/>
                <w:sz w:val="28"/>
                <w:szCs w:val="36"/>
                <w:lang w:val="en-US" w:eastAsia="zh-CN"/>
              </w:rPr>
              <w:t>宽）；</w:t>
            </w:r>
          </w:p>
          <w:p w14:paraId="05472ABC">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left"/>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外形尺寸（长*宽</w:t>
            </w:r>
            <w:r>
              <w:rPr>
                <w:rFonts w:hint="eastAsia" w:ascii="方正仿宋_GB2312" w:hAnsi="方正仿宋_GB2312" w:eastAsia="方正仿宋_GB2312" w:cs="方正仿宋_GB2312"/>
                <w:sz w:val="28"/>
                <w:szCs w:val="36"/>
                <w:lang w:val="en-US" w:eastAsia="zh-CN"/>
              </w:rPr>
              <w:t>*高</w:t>
            </w:r>
            <w:r>
              <w:rPr>
                <w:rFonts w:hint="eastAsia" w:ascii="方正仿宋_GB2312" w:hAnsi="方正仿宋_GB2312" w:eastAsia="方正仿宋_GB2312" w:cs="方正仿宋_GB2312"/>
                <w:sz w:val="28"/>
                <w:szCs w:val="36"/>
              </w:rPr>
              <w:t>）：</w:t>
            </w:r>
          </w:p>
          <w:p w14:paraId="6C7A1102">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left"/>
              <w:textAlignment w:val="auto"/>
              <w:rPr>
                <w:rFonts w:hint="eastAsia" w:ascii="方正仿宋_GB2312" w:hAnsi="方正仿宋_GB2312" w:eastAsia="方正仿宋_GB2312" w:cs="方正仿宋_GB2312"/>
                <w:sz w:val="28"/>
                <w:szCs w:val="36"/>
                <w:lang w:eastAsia="zh-CN"/>
              </w:rPr>
            </w:pPr>
            <w:r>
              <w:rPr>
                <w:rFonts w:hint="eastAsia" w:ascii="方正仿宋_GB2312" w:hAnsi="方正仿宋_GB2312" w:eastAsia="方正仿宋_GB2312" w:cs="方正仿宋_GB2312"/>
                <w:sz w:val="28"/>
                <w:szCs w:val="36"/>
                <w:lang w:val="en-US" w:eastAsia="zh-CN"/>
              </w:rPr>
              <w:t>长：</w:t>
            </w:r>
            <w:r>
              <w:rPr>
                <w:rFonts w:hint="eastAsia" w:ascii="方正仿宋_GB2312" w:hAnsi="方正仿宋_GB2312" w:eastAsia="方正仿宋_GB2312" w:cs="方正仿宋_GB2312"/>
                <w:sz w:val="28"/>
                <w:szCs w:val="36"/>
              </w:rPr>
              <w:t>1600mm±5mm</w:t>
            </w:r>
            <w:r>
              <w:rPr>
                <w:rFonts w:hint="eastAsia" w:ascii="方正仿宋_GB2312" w:hAnsi="方正仿宋_GB2312" w:eastAsia="方正仿宋_GB2312" w:cs="方正仿宋_GB2312"/>
                <w:sz w:val="28"/>
                <w:szCs w:val="36"/>
                <w:lang w:eastAsia="zh-CN"/>
              </w:rPr>
              <w:t>，</w:t>
            </w:r>
          </w:p>
          <w:p w14:paraId="42E3E1F6">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left"/>
              <w:textAlignment w:val="auto"/>
              <w:rPr>
                <w:rFonts w:hint="eastAsia" w:ascii="方正仿宋_GB2312" w:hAnsi="方正仿宋_GB2312" w:eastAsia="方正仿宋_GB2312" w:cs="方正仿宋_GB2312"/>
                <w:sz w:val="28"/>
                <w:szCs w:val="36"/>
                <w:lang w:eastAsia="zh-CN"/>
              </w:rPr>
            </w:pPr>
            <w:r>
              <w:rPr>
                <w:rFonts w:hint="eastAsia" w:ascii="方正仿宋_GB2312" w:hAnsi="方正仿宋_GB2312" w:eastAsia="方正仿宋_GB2312" w:cs="方正仿宋_GB2312"/>
                <w:sz w:val="28"/>
                <w:szCs w:val="36"/>
                <w:lang w:val="en-US" w:eastAsia="zh-CN"/>
              </w:rPr>
              <w:t>宽：</w:t>
            </w:r>
            <w:r>
              <w:rPr>
                <w:rFonts w:hint="eastAsia" w:ascii="方正仿宋_GB2312" w:hAnsi="方正仿宋_GB2312" w:eastAsia="方正仿宋_GB2312" w:cs="方正仿宋_GB2312"/>
                <w:sz w:val="28"/>
                <w:szCs w:val="36"/>
              </w:rPr>
              <w:t>800mm±5mm</w:t>
            </w:r>
            <w:r>
              <w:rPr>
                <w:rFonts w:hint="eastAsia" w:ascii="方正仿宋_GB2312" w:hAnsi="方正仿宋_GB2312" w:eastAsia="方正仿宋_GB2312" w:cs="方正仿宋_GB2312"/>
                <w:sz w:val="28"/>
                <w:szCs w:val="36"/>
                <w:lang w:eastAsia="zh-CN"/>
              </w:rPr>
              <w:t>，</w:t>
            </w:r>
          </w:p>
          <w:p w14:paraId="4485C37A">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left"/>
              <w:textAlignment w:val="auto"/>
              <w:rPr>
                <w:rFonts w:hint="eastAsia"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高：在</w:t>
            </w:r>
            <w:r>
              <w:rPr>
                <w:rFonts w:hint="eastAsia" w:ascii="方正仿宋_GB2312" w:hAnsi="方正仿宋_GB2312" w:eastAsia="方正仿宋_GB2312" w:cs="方正仿宋_GB2312"/>
                <w:sz w:val="28"/>
                <w:szCs w:val="36"/>
              </w:rPr>
              <w:t>606mm</w:t>
            </w:r>
            <w:r>
              <w:rPr>
                <w:rFonts w:hint="eastAsia" w:ascii="方正仿宋_GB2312" w:hAnsi="方正仿宋_GB2312" w:eastAsia="方正仿宋_GB2312" w:cs="方正仿宋_GB2312"/>
                <w:sz w:val="28"/>
                <w:szCs w:val="36"/>
                <w:lang w:val="en-US" w:eastAsia="zh-CN"/>
              </w:rPr>
              <w:t>~845</w:t>
            </w:r>
            <w:r>
              <w:rPr>
                <w:rFonts w:hint="eastAsia" w:ascii="方正仿宋_GB2312" w:hAnsi="方正仿宋_GB2312" w:eastAsia="方正仿宋_GB2312" w:cs="方正仿宋_GB2312"/>
                <w:sz w:val="28"/>
                <w:szCs w:val="36"/>
              </w:rPr>
              <w:t>mm</w:t>
            </w:r>
            <w:r>
              <w:rPr>
                <w:rFonts w:hint="eastAsia" w:ascii="方正仿宋_GB2312" w:hAnsi="方正仿宋_GB2312" w:eastAsia="方正仿宋_GB2312" w:cs="方正仿宋_GB2312"/>
                <w:sz w:val="28"/>
                <w:szCs w:val="36"/>
                <w:lang w:val="en-US" w:eastAsia="zh-CN"/>
              </w:rPr>
              <w:t>之间可调</w:t>
            </w:r>
            <w:r>
              <w:rPr>
                <w:rFonts w:hint="eastAsia" w:ascii="方正仿宋_GB2312" w:hAnsi="方正仿宋_GB2312" w:eastAsia="方正仿宋_GB2312" w:cs="方正仿宋_GB2312"/>
                <w:sz w:val="28"/>
                <w:szCs w:val="36"/>
                <w:lang w:eastAsia="zh-CN"/>
              </w:rPr>
              <w:t>。</w:t>
            </w:r>
          </w:p>
          <w:p w14:paraId="5B2CF3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▲4.</w:t>
            </w:r>
            <w:r>
              <w:rPr>
                <w:rFonts w:hint="eastAsia" w:ascii="方正仿宋_GB2312" w:hAnsi="方正仿宋_GB2312" w:eastAsia="方正仿宋_GB2312" w:cs="方正仿宋_GB2312"/>
                <w:sz w:val="28"/>
                <w:szCs w:val="36"/>
              </w:rPr>
              <w:t>桌面厚度≥2.5cm</w:t>
            </w:r>
            <w:r>
              <w:rPr>
                <w:rFonts w:hint="eastAsia" w:ascii="方正仿宋_GB2312" w:hAnsi="方正仿宋_GB2312" w:eastAsia="方正仿宋_GB2312" w:cs="方正仿宋_GB2312"/>
                <w:sz w:val="28"/>
                <w:szCs w:val="36"/>
                <w:lang w:eastAsia="zh-CN"/>
              </w:rPr>
              <w:t>。</w:t>
            </w:r>
          </w:p>
          <w:p w14:paraId="4DDC661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▲5.</w:t>
            </w:r>
            <w:r>
              <w:rPr>
                <w:rFonts w:hint="eastAsia" w:ascii="方正仿宋_GB2312" w:hAnsi="方正仿宋_GB2312" w:eastAsia="方正仿宋_GB2312" w:cs="方正仿宋_GB2312"/>
                <w:sz w:val="28"/>
                <w:szCs w:val="36"/>
              </w:rPr>
              <w:t>桌面升降范围</w:t>
            </w:r>
            <w:r>
              <w:rPr>
                <w:rFonts w:hint="eastAsia" w:ascii="方正仿宋_GB2312" w:hAnsi="方正仿宋_GB2312" w:eastAsia="方正仿宋_GB2312" w:cs="方正仿宋_GB2312"/>
                <w:sz w:val="28"/>
                <w:szCs w:val="36"/>
                <w:lang w:val="en-US" w:eastAsia="zh-CN"/>
              </w:rPr>
              <w:t>至少包含</w:t>
            </w:r>
            <w:r>
              <w:rPr>
                <w:rFonts w:hint="eastAsia" w:ascii="方正仿宋_GB2312" w:hAnsi="方正仿宋_GB2312" w:eastAsia="方正仿宋_GB2312" w:cs="方正仿宋_GB2312"/>
                <w:sz w:val="28"/>
                <w:szCs w:val="36"/>
              </w:rPr>
              <w:t>：606mm</w:t>
            </w:r>
            <w:r>
              <w:rPr>
                <w:rFonts w:hint="eastAsia" w:ascii="方正仿宋_GB2312" w:hAnsi="方正仿宋_GB2312" w:eastAsia="方正仿宋_GB2312" w:cs="方正仿宋_GB2312"/>
                <w:sz w:val="28"/>
                <w:szCs w:val="36"/>
                <w:lang w:val="en-US" w:eastAsia="zh-CN"/>
              </w:rPr>
              <w:t>~845</w:t>
            </w:r>
            <w:r>
              <w:rPr>
                <w:rFonts w:hint="eastAsia" w:ascii="方正仿宋_GB2312" w:hAnsi="方正仿宋_GB2312" w:eastAsia="方正仿宋_GB2312" w:cs="方正仿宋_GB2312"/>
                <w:sz w:val="28"/>
                <w:szCs w:val="36"/>
              </w:rPr>
              <w:t>mm</w:t>
            </w:r>
            <w:r>
              <w:rPr>
                <w:rFonts w:hint="eastAsia" w:ascii="方正仿宋_GB2312" w:hAnsi="方正仿宋_GB2312" w:eastAsia="方正仿宋_GB2312" w:cs="方正仿宋_GB2312"/>
                <w:sz w:val="28"/>
                <w:szCs w:val="36"/>
                <w:lang w:val="en-US" w:eastAsia="zh-CN"/>
              </w:rPr>
              <w:t>。</w:t>
            </w:r>
          </w:p>
          <w:p w14:paraId="2BE2C6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sz w:val="28"/>
                <w:szCs w:val="36"/>
                <w:lang w:eastAsia="zh-CN"/>
              </w:rPr>
            </w:pPr>
            <w:r>
              <w:rPr>
                <w:rFonts w:hint="eastAsia" w:ascii="方正仿宋_GB2312" w:hAnsi="方正仿宋_GB2312" w:eastAsia="方正仿宋_GB2312" w:cs="方正仿宋_GB2312"/>
                <w:sz w:val="28"/>
                <w:szCs w:val="36"/>
                <w:lang w:val="en-US" w:eastAsia="zh-CN"/>
              </w:rPr>
              <w:t>▲6.</w:t>
            </w:r>
            <w:r>
              <w:rPr>
                <w:rFonts w:hint="eastAsia" w:ascii="方正仿宋_GB2312" w:hAnsi="方正仿宋_GB2312" w:eastAsia="方正仿宋_GB2312" w:cs="方正仿宋_GB2312"/>
                <w:sz w:val="28"/>
                <w:szCs w:val="36"/>
              </w:rPr>
              <w:t>桌面材质：多层实木</w:t>
            </w:r>
            <w:r>
              <w:rPr>
                <w:rFonts w:hint="eastAsia" w:ascii="方正仿宋_GB2312" w:hAnsi="方正仿宋_GB2312" w:eastAsia="方正仿宋_GB2312" w:cs="方正仿宋_GB2312"/>
                <w:sz w:val="28"/>
                <w:szCs w:val="36"/>
                <w:lang w:val="en-US" w:eastAsia="zh-CN"/>
              </w:rPr>
              <w:t>或</w:t>
            </w:r>
            <w:r>
              <w:rPr>
                <w:rFonts w:hint="eastAsia" w:ascii="方正仿宋_GB2312" w:hAnsi="方正仿宋_GB2312" w:eastAsia="方正仿宋_GB2312" w:cs="方正仿宋_GB2312"/>
                <w:sz w:val="28"/>
                <w:szCs w:val="36"/>
              </w:rPr>
              <w:t>不锈钢</w:t>
            </w:r>
            <w:r>
              <w:rPr>
                <w:rFonts w:hint="eastAsia" w:ascii="方正仿宋_GB2312" w:hAnsi="方正仿宋_GB2312" w:eastAsia="方正仿宋_GB2312" w:cs="方正仿宋_GB2312"/>
                <w:sz w:val="28"/>
                <w:szCs w:val="36"/>
                <w:lang w:eastAsia="zh-CN"/>
              </w:rPr>
              <w:t>。</w:t>
            </w:r>
          </w:p>
          <w:p w14:paraId="03F1B4C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lang w:val="en-US" w:eastAsia="zh-CN"/>
              </w:rPr>
              <w:t>▲7.</w:t>
            </w:r>
            <w:r>
              <w:rPr>
                <w:rFonts w:hint="eastAsia" w:ascii="方正仿宋_GB2312" w:hAnsi="方正仿宋_GB2312" w:eastAsia="方正仿宋_GB2312" w:cs="方正仿宋_GB2312"/>
                <w:sz w:val="28"/>
                <w:szCs w:val="36"/>
              </w:rPr>
              <w:t xml:space="preserve">手柄转动力距：≥10N·m。 </w:t>
            </w:r>
          </w:p>
          <w:p w14:paraId="6796370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sz w:val="28"/>
                <w:szCs w:val="36"/>
                <w:lang w:val="en-US" w:eastAsia="zh-CN"/>
              </w:rPr>
              <w:t>▲8.</w:t>
            </w:r>
            <w:r>
              <w:rPr>
                <w:rFonts w:hint="eastAsia" w:ascii="方正仿宋_GB2312" w:hAnsi="方正仿宋_GB2312" w:eastAsia="方正仿宋_GB2312" w:cs="方正仿宋_GB2312"/>
                <w:sz w:val="28"/>
                <w:szCs w:val="36"/>
              </w:rPr>
              <w:t>桌面额定载荷：≥</w:t>
            </w:r>
            <w:r>
              <w:rPr>
                <w:rFonts w:hint="eastAsia" w:ascii="方正仿宋_GB2312" w:hAnsi="方正仿宋_GB2312" w:eastAsia="方正仿宋_GB2312" w:cs="方正仿宋_GB2312"/>
                <w:sz w:val="28"/>
                <w:szCs w:val="36"/>
                <w:lang w:val="en-US" w:eastAsia="zh-CN"/>
              </w:rPr>
              <w:t>75</w:t>
            </w:r>
            <w:r>
              <w:rPr>
                <w:rFonts w:hint="eastAsia" w:ascii="方正仿宋_GB2312" w:hAnsi="方正仿宋_GB2312" w:eastAsia="方正仿宋_GB2312" w:cs="方正仿宋_GB2312"/>
                <w:sz w:val="28"/>
                <w:szCs w:val="36"/>
              </w:rPr>
              <w:t>kg。</w:t>
            </w:r>
          </w:p>
        </w:tc>
      </w:tr>
    </w:tbl>
    <w:p w14:paraId="7E839493">
      <w:pPr>
        <w:keepNext/>
        <w:keepLines/>
        <w:pageBreakBefore w:val="0"/>
        <w:widowControl w:val="0"/>
        <w:kinsoku/>
        <w:wordWrap w:val="0"/>
        <w:overflowPunct/>
        <w:topLinePunct/>
        <w:autoSpaceDE/>
        <w:autoSpaceDN/>
        <w:bidi w:val="0"/>
        <w:adjustRightInd w:val="0"/>
        <w:snapToGrid w:val="0"/>
        <w:spacing w:line="440" w:lineRule="exact"/>
        <w:ind w:firstLine="840" w:firstLineChars="300"/>
        <w:jc w:val="left"/>
        <w:textAlignment w:val="baseline"/>
        <w:rPr>
          <w:rFonts w:hint="eastAsia" w:ascii="方正仿宋_GB2312" w:hAnsi="方正仿宋_GB2312" w:eastAsia="方正仿宋_GB2312" w:cs="方正仿宋_GB2312"/>
          <w:snapToGrid w:val="0"/>
          <w:color w:val="000000"/>
          <w:kern w:val="0"/>
          <w:sz w:val="28"/>
          <w:szCs w:val="28"/>
          <w:lang w:eastAsia="en-US"/>
        </w:rPr>
      </w:pPr>
    </w:p>
    <w:p w14:paraId="52BE5D2A">
      <w:pPr>
        <w:keepNext/>
        <w:keepLines/>
        <w:pageBreakBefore w:val="0"/>
        <w:widowControl w:val="0"/>
        <w:kinsoku/>
        <w:wordWrap w:val="0"/>
        <w:overflowPunct/>
        <w:topLinePunct/>
        <w:autoSpaceDE/>
        <w:autoSpaceDN/>
        <w:bidi w:val="0"/>
        <w:adjustRightInd w:val="0"/>
        <w:snapToGrid w:val="0"/>
        <w:spacing w:before="120" w:beforeLines="50" w:line="360" w:lineRule="auto"/>
        <w:jc w:val="left"/>
        <w:textAlignment w:val="baseline"/>
        <w:rPr>
          <w:rFonts w:hint="eastAsia" w:ascii="方正仿宋_GB2312" w:hAnsi="方正仿宋_GB2312" w:eastAsia="方正仿宋_GB2312" w:cs="方正仿宋_GB2312"/>
          <w:b/>
          <w:snapToGrid w:val="0"/>
          <w:color w:val="000000"/>
          <w:kern w:val="0"/>
          <w:sz w:val="28"/>
          <w:szCs w:val="28"/>
          <w:lang w:eastAsia="en-US"/>
        </w:rPr>
      </w:pPr>
      <w:bookmarkStart w:id="11" w:name="_GoBack"/>
      <w:bookmarkEnd w:id="11"/>
      <w:r>
        <w:rPr>
          <w:rFonts w:hint="eastAsia" w:ascii="方正仿宋_GB2312" w:hAnsi="方正仿宋_GB2312" w:eastAsia="方正仿宋_GB2312" w:cs="方正仿宋_GB2312"/>
          <w:snapToGrid w:val="0"/>
          <w:color w:val="000000"/>
          <w:kern w:val="0"/>
          <w:sz w:val="28"/>
          <w:szCs w:val="28"/>
          <w:lang w:eastAsia="en-US"/>
        </w:rPr>
        <w:t>▲</w:t>
      </w:r>
      <w:r>
        <w:rPr>
          <w:rFonts w:hint="eastAsia" w:ascii="方正仿宋_GB2312" w:hAnsi="方正仿宋_GB2312" w:eastAsia="方正仿宋_GB2312" w:cs="方正仿宋_GB2312"/>
          <w:b/>
          <w:snapToGrid w:val="0"/>
          <w:color w:val="000000"/>
          <w:kern w:val="0"/>
          <w:sz w:val="28"/>
          <w:szCs w:val="28"/>
          <w:lang w:eastAsia="en-US"/>
        </w:rPr>
        <w:t>三、商务要求</w:t>
      </w:r>
    </w:p>
    <w:tbl>
      <w:tblPr>
        <w:tblStyle w:val="35"/>
        <w:tblW w:w="592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0" w:type="dxa"/>
        </w:tblCellMar>
      </w:tblPr>
      <w:tblGrid>
        <w:gridCol w:w="623"/>
        <w:gridCol w:w="1856"/>
        <w:gridCol w:w="7434"/>
      </w:tblGrid>
      <w:tr w14:paraId="4D303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FDFFD">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bookmarkStart w:id="0" w:name="_Toc204778399"/>
            <w:r>
              <w:rPr>
                <w:rFonts w:hint="eastAsia" w:ascii="方正仿宋_GB2312" w:hAnsi="方正仿宋_GB2312" w:eastAsia="方正仿宋_GB2312" w:cs="方正仿宋_GB2312"/>
                <w:b w:val="0"/>
                <w:bCs w:val="0"/>
                <w:snapToGrid w:val="0"/>
                <w:color w:val="auto"/>
                <w:spacing w:val="-4"/>
                <w:kern w:val="0"/>
                <w:sz w:val="28"/>
                <w:szCs w:val="28"/>
                <w:lang w:val="en-US" w:eastAsia="en-US"/>
              </w:rPr>
              <w:t>1</w:t>
            </w:r>
            <w:bookmarkEnd w:id="0"/>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6AB83">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bookmarkStart w:id="1" w:name="_Toc204778400"/>
            <w:r>
              <w:rPr>
                <w:rFonts w:hint="eastAsia" w:ascii="方正仿宋_GB2312" w:hAnsi="方正仿宋_GB2312" w:eastAsia="方正仿宋_GB2312" w:cs="方正仿宋_GB2312"/>
                <w:b w:val="0"/>
                <w:bCs w:val="0"/>
                <w:snapToGrid w:val="0"/>
                <w:color w:val="auto"/>
                <w:spacing w:val="-4"/>
                <w:kern w:val="0"/>
                <w:sz w:val="28"/>
                <w:szCs w:val="28"/>
                <w:lang w:val="en-US" w:eastAsia="en-US"/>
              </w:rPr>
              <w:t>投标报价</w:t>
            </w:r>
          </w:p>
          <w:p w14:paraId="2690C806">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要求</w:t>
            </w:r>
            <w:bookmarkEnd w:id="1"/>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56633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1、报价必须含以下部分，包括：</w:t>
            </w:r>
          </w:p>
          <w:p w14:paraId="5C2961C4">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（1）货物的价格；</w:t>
            </w:r>
          </w:p>
          <w:p w14:paraId="3A9870CC">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（2）必要的保险费用和各项税金；</w:t>
            </w:r>
          </w:p>
          <w:p w14:paraId="1ADEE9A7">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default"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（3）其他包括货款、随配附件、备品备件、专用工具、包装、运输、装卸、保险、运抵指定交货地点、送货上门服务、现场安装调试、包装箱清理、保修等各种费用和售后服务、更新升级</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、上门维修、</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零配件更换、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tc>
      </w:tr>
      <w:tr w14:paraId="243EC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505D0">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bookmarkStart w:id="2" w:name="_Toc204778401"/>
            <w:r>
              <w:rPr>
                <w:rFonts w:hint="eastAsia" w:ascii="方正仿宋_GB2312" w:hAnsi="方正仿宋_GB2312" w:eastAsia="方正仿宋_GB2312" w:cs="方正仿宋_GB2312"/>
                <w:b w:val="0"/>
                <w:bCs w:val="0"/>
                <w:snapToGrid w:val="0"/>
                <w:color w:val="auto"/>
                <w:spacing w:val="-4"/>
                <w:kern w:val="0"/>
                <w:sz w:val="28"/>
                <w:szCs w:val="28"/>
                <w:lang w:val="en-US" w:eastAsia="en-US"/>
              </w:rPr>
              <w:t>2</w:t>
            </w:r>
            <w:bookmarkEnd w:id="2"/>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CD461">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合同签订时间</w:t>
            </w:r>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C6294">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自中标通知书发出之日起25日内。</w:t>
            </w:r>
          </w:p>
        </w:tc>
      </w:tr>
      <w:tr w14:paraId="4A204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1419"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66E24">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bookmarkStart w:id="3" w:name="_Toc204778402"/>
            <w:r>
              <w:rPr>
                <w:rFonts w:hint="eastAsia" w:ascii="方正仿宋_GB2312" w:hAnsi="方正仿宋_GB2312" w:eastAsia="方正仿宋_GB2312" w:cs="方正仿宋_GB2312"/>
                <w:b w:val="0"/>
                <w:bCs w:val="0"/>
                <w:snapToGrid w:val="0"/>
                <w:color w:val="auto"/>
                <w:spacing w:val="-4"/>
                <w:kern w:val="0"/>
                <w:sz w:val="28"/>
                <w:szCs w:val="28"/>
                <w:lang w:val="en-US" w:eastAsia="en-US"/>
              </w:rPr>
              <w:t>3</w:t>
            </w:r>
            <w:bookmarkEnd w:id="3"/>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1ECA4">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bookmarkStart w:id="4" w:name="_Toc204778403"/>
            <w:r>
              <w:rPr>
                <w:rFonts w:hint="eastAsia" w:ascii="方正仿宋_GB2312" w:hAnsi="方正仿宋_GB2312" w:eastAsia="方正仿宋_GB2312" w:cs="方正仿宋_GB2312"/>
                <w:b w:val="0"/>
                <w:bCs w:val="0"/>
                <w:snapToGrid w:val="0"/>
                <w:color w:val="auto"/>
                <w:spacing w:val="-4"/>
                <w:kern w:val="0"/>
                <w:sz w:val="28"/>
                <w:szCs w:val="28"/>
                <w:lang w:val="en-US" w:eastAsia="en-US"/>
              </w:rPr>
              <w:t>交货时间</w:t>
            </w:r>
          </w:p>
          <w:p w14:paraId="211C12D4">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及地点</w:t>
            </w:r>
            <w:bookmarkEnd w:id="4"/>
          </w:p>
        </w:tc>
        <w:tc>
          <w:tcPr>
            <w:tcW w:w="7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B07E3">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zh-CN"/>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1.交货期：</w:t>
            </w:r>
            <w:r>
              <w:rPr>
                <w:rFonts w:hint="eastAsia" w:ascii="方正仿宋_GB2312" w:hAnsi="方正仿宋_GB2312" w:eastAsia="方正仿宋_GB2312" w:cs="方正仿宋_GB2312"/>
                <w:b/>
                <w:bCs/>
                <w:snapToGrid w:val="0"/>
                <w:color w:val="auto"/>
                <w:spacing w:val="-4"/>
                <w:kern w:val="0"/>
                <w:sz w:val="28"/>
                <w:szCs w:val="28"/>
                <w:lang w:val="en-US" w:eastAsia="en-US"/>
              </w:rPr>
              <w:t>合同签订之日起30天内完成交货安装调试并正常运行。该货物为订制品，交货前须提供样品一件供采购人验收合格后方可按照不低于样品质量要求进行批量供货</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w:t>
            </w:r>
          </w:p>
          <w:p w14:paraId="3B3A6422">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2.地点：广西壮族自治区江滨医院内采购人指定地点。</w:t>
            </w:r>
          </w:p>
        </w:tc>
      </w:tr>
      <w:tr w14:paraId="7CC5F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746A9">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4</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E9C22">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质保期</w:t>
            </w:r>
          </w:p>
        </w:tc>
        <w:tc>
          <w:tcPr>
            <w:tcW w:w="7430" w:type="dxa"/>
            <w:tcBorders>
              <w:top w:val="single" w:color="000000" w:sz="4" w:space="0"/>
              <w:left w:val="single" w:color="000000" w:sz="4" w:space="0"/>
              <w:bottom w:val="single" w:color="000000" w:sz="4" w:space="0"/>
              <w:right w:val="single" w:color="000000" w:sz="4" w:space="0"/>
            </w:tcBorders>
            <w:shd w:val="clear" w:color="auto" w:fill="FFFFFF"/>
          </w:tcPr>
          <w:p w14:paraId="52C89CE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1.投标人应明确承诺：按国家有关产品“三包”规定执行“三包”，货物验收合格后，</w:t>
            </w:r>
            <w:r>
              <w:rPr>
                <w:rFonts w:hint="eastAsia" w:ascii="方正仿宋_GB2312" w:hAnsi="方正仿宋_GB2312" w:eastAsia="方正仿宋_GB2312" w:cs="方正仿宋_GB2312"/>
                <w:b/>
                <w:bCs/>
                <w:snapToGrid w:val="0"/>
                <w:color w:val="auto"/>
                <w:spacing w:val="-4"/>
                <w:kern w:val="0"/>
                <w:sz w:val="28"/>
                <w:szCs w:val="28"/>
                <w:lang w:val="en-US" w:eastAsia="en-US"/>
              </w:rPr>
              <w:t>自安装验收合格之日起≧</w:t>
            </w:r>
            <w:r>
              <w:rPr>
                <w:rFonts w:hint="eastAsia" w:ascii="方正仿宋_GB2312" w:hAnsi="方正仿宋_GB2312" w:eastAsia="方正仿宋_GB2312" w:cs="方正仿宋_GB2312"/>
                <w:b/>
                <w:bCs/>
                <w:snapToGrid w:val="0"/>
                <w:color w:val="auto"/>
                <w:spacing w:val="-4"/>
                <w:kern w:val="0"/>
                <w:sz w:val="28"/>
                <w:szCs w:val="28"/>
                <w:lang w:val="en-US" w:eastAsia="zh-CN"/>
              </w:rPr>
              <w:t>5年</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质保期内非人为损坏</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负责</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更换所有故障零配件，并</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负责</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提供</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货物</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的</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硬件</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的安全性改版升级和技术支持，确保</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货物能</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正常运行，质保期满后，终身维护。</w:t>
            </w:r>
          </w:p>
          <w:p w14:paraId="7C218DE2">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2.要求投标货物是有品牌的、全新的、未经改装的、出厂后未开封、未使用过的</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合格的整机产品（厂家原装正品）</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，能</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满足本项目技术需求及要求的货物。所有零部件、配件必须是未经使用的全新的并符合国家有关质量安全标准的产品。</w:t>
            </w:r>
          </w:p>
          <w:p w14:paraId="1B04E635">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3.质保期所更换的零配件必须是原厂全新的零配件，满足设备运行要求。</w:t>
            </w:r>
          </w:p>
          <w:p w14:paraId="2600471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4.质保期承诺优于国家“三包”规定的，或优于招标文件规定的，按投标人实际承诺执行。</w:t>
            </w:r>
          </w:p>
          <w:p w14:paraId="73B4DE6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5.若在使用的前3个月内，出现非人为操作失误的重大故障，</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中标人</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应予以</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负责</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换货。</w:t>
            </w:r>
          </w:p>
        </w:tc>
      </w:tr>
      <w:tr w14:paraId="0A44E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6887B">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bookmarkStart w:id="5" w:name="_Toc204778404"/>
            <w:r>
              <w:rPr>
                <w:rFonts w:hint="eastAsia" w:ascii="方正仿宋_GB2312" w:hAnsi="方正仿宋_GB2312" w:eastAsia="方正仿宋_GB2312" w:cs="方正仿宋_GB2312"/>
                <w:b w:val="0"/>
                <w:bCs w:val="0"/>
                <w:snapToGrid w:val="0"/>
                <w:color w:val="auto"/>
                <w:spacing w:val="-4"/>
                <w:kern w:val="0"/>
                <w:sz w:val="28"/>
                <w:szCs w:val="28"/>
                <w:lang w:val="en-US" w:eastAsia="en-US"/>
              </w:rPr>
              <w:t>5</w:t>
            </w:r>
            <w:bookmarkEnd w:id="5"/>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72A90">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bookmarkStart w:id="6" w:name="_Toc204778405"/>
            <w:r>
              <w:rPr>
                <w:rFonts w:hint="eastAsia" w:ascii="方正仿宋_GB2312" w:hAnsi="方正仿宋_GB2312" w:eastAsia="方正仿宋_GB2312" w:cs="方正仿宋_GB2312"/>
                <w:b w:val="0"/>
                <w:bCs w:val="0"/>
                <w:snapToGrid w:val="0"/>
                <w:color w:val="auto"/>
                <w:spacing w:val="-4"/>
                <w:kern w:val="0"/>
                <w:sz w:val="28"/>
                <w:szCs w:val="28"/>
                <w:lang w:val="en-US" w:eastAsia="en-US"/>
              </w:rPr>
              <w:t>售后服务</w:t>
            </w:r>
          </w:p>
          <w:p w14:paraId="02AEAAAF">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要求</w:t>
            </w:r>
            <w:bookmarkEnd w:id="6"/>
          </w:p>
        </w:tc>
        <w:tc>
          <w:tcPr>
            <w:tcW w:w="7430" w:type="dxa"/>
            <w:tcBorders>
              <w:top w:val="single" w:color="000000" w:sz="4" w:space="0"/>
              <w:left w:val="single" w:color="000000" w:sz="4" w:space="0"/>
              <w:bottom w:val="single" w:color="000000" w:sz="4" w:space="0"/>
              <w:right w:val="single" w:color="000000" w:sz="4" w:space="0"/>
            </w:tcBorders>
            <w:shd w:val="clear" w:color="auto" w:fill="FFFFFF"/>
          </w:tcPr>
          <w:p w14:paraId="01D6A071">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21D5D09E">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2.相关人员培训:中标人对其提供产品或服务的使用和操作应尽培训义务。中标人应提供对采购人的基本培训，使采购人使用人员熟练掌握所培训内容，熟练掌握全部功能。以上所有培训的相关费用包括在投标报价中，采购人不再另行支付。</w:t>
            </w:r>
          </w:p>
          <w:p w14:paraId="22B10567">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3.提供7*24小时售后服务，接到采购人通知后2小时内作出实质响应（远程解决或做出预备维护动作），并在24小时内恢复</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货物</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运行；</w:t>
            </w:r>
          </w:p>
          <w:p w14:paraId="7C29019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4.质保期内发生故障的</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OT治疗桌</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如无法在24小时内修复，则应提供备用</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OT治疗桌</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，并在5个工作日内修复故障</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OT治疗桌</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或更换新</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OT治疗桌</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，5个工作日内不能解决的，由中标人提供替代</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OT治疗桌，</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保障正常使用，保证采购人业务工作的连续性</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在无相同型号的</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OT治疗桌</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时，则应更换同类</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OT治疗桌</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中较高型号</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较高性能</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的产品</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所产生的费用，均包含在本次采购报价中，采购人不再承担任何费用。</w:t>
            </w:r>
          </w:p>
          <w:p w14:paraId="4C2F7232">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5.设备质保期内因售后服务（包括但不限于原厂商服务和非原厂商服务，其中硬件的售后服务包括但不限于</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硬件维护维修、配件更换、整机更换、硬件升级、提供替代品；应用软件的售后服务包括但不限于应用软件维护升级以及非结构性修改）所产生的费用，均包含在本次采购报价中 ，采购人不再承担任何费用。</w:t>
            </w:r>
          </w:p>
          <w:p w14:paraId="5ED41C0C">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6.设备质保期内，中标人负责对</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OT治疗桌</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进行定期维护保养，每年至少四次（每季度一次），包括</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OT治疗桌</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的安全检查、质量检查，运行状态检查，提供</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OT治疗桌</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维护保养情况书面报告。并承担所发生的一切费用（包括更换零部件费、人工费和差旅费等）。</w:t>
            </w:r>
          </w:p>
        </w:tc>
      </w:tr>
      <w:tr w14:paraId="283C6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33B6A">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zh-CN"/>
              </w:rPr>
            </w:pPr>
            <w:r>
              <w:rPr>
                <w:rFonts w:hint="eastAsia" w:ascii="方正仿宋_GB2312" w:hAnsi="方正仿宋_GB2312" w:eastAsia="方正仿宋_GB2312" w:cs="方正仿宋_GB2312"/>
                <w:b w:val="0"/>
                <w:bCs w:val="0"/>
                <w:snapToGrid w:val="0"/>
                <w:color w:val="auto"/>
                <w:spacing w:val="-4"/>
                <w:kern w:val="0"/>
                <w:sz w:val="28"/>
                <w:szCs w:val="28"/>
                <w:lang w:val="en-US" w:eastAsia="zh-CN"/>
              </w:rPr>
              <w:t>6</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B38D5">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付款方式</w:t>
            </w:r>
          </w:p>
        </w:tc>
        <w:tc>
          <w:tcPr>
            <w:tcW w:w="7430" w:type="dxa"/>
            <w:tcBorders>
              <w:top w:val="single" w:color="000000" w:sz="4" w:space="0"/>
              <w:left w:val="single" w:color="000000" w:sz="4" w:space="0"/>
              <w:bottom w:val="single" w:color="000000" w:sz="4" w:space="0"/>
              <w:right w:val="single" w:color="000000" w:sz="4" w:space="0"/>
            </w:tcBorders>
            <w:shd w:val="clear" w:color="auto" w:fill="FFFFFF"/>
          </w:tcPr>
          <w:p w14:paraId="5778032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1.全部货物送达指定地点、安装调试并验收合格，双方签署验收报告，中标人提交全额增值税发票后6个月内支付</w:t>
            </w:r>
          </w:p>
          <w:p w14:paraId="78F69EF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snapToGrid w:val="0"/>
                <w:color w:val="auto"/>
                <w:spacing w:val="5"/>
                <w:kern w:val="0"/>
                <w:sz w:val="28"/>
                <w:szCs w:val="28"/>
              </w:rPr>
              <w:t>合同金额的95%。中标人履行相关配套服务期满后，且经采购人验收符合合同约定后6个月内，采购人支付至总合同金额100%。</w:t>
            </w:r>
            <w:r>
              <w:rPr>
                <w:rFonts w:hint="eastAsia" w:ascii="方正仿宋_GB2312" w:hAnsi="方正仿宋_GB2312" w:eastAsia="方正仿宋_GB2312" w:cs="方正仿宋_GB2312"/>
                <w:snapToGrid w:val="0"/>
                <w:color w:val="auto"/>
                <w:spacing w:val="5"/>
                <w:kern w:val="0"/>
                <w:sz w:val="28"/>
                <w:szCs w:val="28"/>
              </w:rPr>
              <w:br w:type="textWrapping"/>
            </w:r>
            <w:r>
              <w:rPr>
                <w:rFonts w:hint="eastAsia" w:ascii="方正仿宋_GB2312" w:hAnsi="方正仿宋_GB2312" w:eastAsia="方正仿宋_GB2312" w:cs="方正仿宋_GB2312"/>
                <w:snapToGrid w:val="0"/>
                <w:color w:val="auto"/>
                <w:spacing w:val="5"/>
                <w:kern w:val="0"/>
                <w:sz w:val="28"/>
                <w:szCs w:val="28"/>
              </w:rPr>
              <w:t>2.付款时，中标人须提供符合要求的发票给采购人，否则采购人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04886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7400E">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zh-CN"/>
              </w:rPr>
            </w:pPr>
            <w:r>
              <w:rPr>
                <w:rFonts w:hint="eastAsia" w:ascii="方正仿宋_GB2312" w:hAnsi="方正仿宋_GB2312" w:eastAsia="方正仿宋_GB2312" w:cs="方正仿宋_GB2312"/>
                <w:b w:val="0"/>
                <w:bCs w:val="0"/>
                <w:snapToGrid w:val="0"/>
                <w:color w:val="auto"/>
                <w:spacing w:val="-4"/>
                <w:kern w:val="0"/>
                <w:sz w:val="28"/>
                <w:szCs w:val="28"/>
                <w:lang w:val="en-US" w:eastAsia="zh-CN"/>
              </w:rPr>
              <w:t>7</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134CC">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bookmarkStart w:id="7" w:name="_Toc204778409"/>
            <w:r>
              <w:rPr>
                <w:rFonts w:hint="eastAsia" w:ascii="方正仿宋_GB2312" w:hAnsi="方正仿宋_GB2312" w:eastAsia="方正仿宋_GB2312" w:cs="方正仿宋_GB2312"/>
                <w:b w:val="0"/>
                <w:bCs w:val="0"/>
                <w:snapToGrid w:val="0"/>
                <w:color w:val="auto"/>
                <w:spacing w:val="-4"/>
                <w:kern w:val="0"/>
                <w:sz w:val="28"/>
                <w:szCs w:val="28"/>
                <w:lang w:val="en-US" w:eastAsia="en-US"/>
              </w:rPr>
              <w:t>履约保证金</w:t>
            </w:r>
            <w:bookmarkEnd w:id="7"/>
          </w:p>
        </w:tc>
        <w:tc>
          <w:tcPr>
            <w:tcW w:w="7430" w:type="dxa"/>
            <w:tcBorders>
              <w:top w:val="single" w:color="000000" w:sz="4" w:space="0"/>
              <w:left w:val="single" w:color="000000" w:sz="4" w:space="0"/>
              <w:bottom w:val="single" w:color="000000" w:sz="4" w:space="0"/>
              <w:right w:val="single" w:color="000000" w:sz="4" w:space="0"/>
            </w:tcBorders>
            <w:shd w:val="clear" w:color="auto" w:fill="FFFFFF"/>
          </w:tcPr>
          <w:p w14:paraId="7A395540">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zh-CN"/>
              </w:rPr>
            </w:pPr>
            <w:r>
              <w:rPr>
                <w:rFonts w:hint="eastAsia" w:ascii="方正仿宋_GB2312" w:hAnsi="方正仿宋_GB2312" w:eastAsia="方正仿宋_GB2312" w:cs="方正仿宋_GB2312"/>
                <w:b w:val="0"/>
                <w:bCs w:val="0"/>
                <w:snapToGrid w:val="0"/>
                <w:color w:val="auto"/>
                <w:spacing w:val="-4"/>
                <w:kern w:val="0"/>
                <w:sz w:val="28"/>
                <w:szCs w:val="28"/>
                <w:lang w:val="en-US" w:eastAsia="zh-CN"/>
              </w:rPr>
              <w:t>无</w:t>
            </w:r>
          </w:p>
        </w:tc>
      </w:tr>
      <w:tr w14:paraId="2CA95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3DA63">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default" w:ascii="方正仿宋_GB2312" w:hAnsi="方正仿宋_GB2312" w:eastAsia="方正仿宋_GB2312" w:cs="方正仿宋_GB2312"/>
                <w:b w:val="0"/>
                <w:bCs w:val="0"/>
                <w:snapToGrid w:val="0"/>
                <w:color w:val="auto"/>
                <w:spacing w:val="-4"/>
                <w:kern w:val="0"/>
                <w:sz w:val="28"/>
                <w:szCs w:val="28"/>
                <w:lang w:val="en-US" w:eastAsia="zh-CN"/>
              </w:rPr>
            </w:pPr>
            <w:r>
              <w:rPr>
                <w:rFonts w:hint="eastAsia" w:ascii="方正仿宋_GB2312" w:hAnsi="方正仿宋_GB2312" w:eastAsia="方正仿宋_GB2312" w:cs="方正仿宋_GB2312"/>
                <w:b w:val="0"/>
                <w:bCs w:val="0"/>
                <w:snapToGrid w:val="0"/>
                <w:color w:val="auto"/>
                <w:spacing w:val="-4"/>
                <w:kern w:val="0"/>
                <w:sz w:val="28"/>
                <w:szCs w:val="28"/>
                <w:lang w:val="en-US" w:eastAsia="zh-CN"/>
              </w:rPr>
              <w:t>8</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C9E5A">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bookmarkStart w:id="8" w:name="_Toc204778407"/>
            <w:r>
              <w:rPr>
                <w:rFonts w:hint="eastAsia" w:ascii="方正仿宋_GB2312" w:hAnsi="方正仿宋_GB2312" w:eastAsia="方正仿宋_GB2312" w:cs="方正仿宋_GB2312"/>
                <w:b w:val="0"/>
                <w:bCs w:val="0"/>
                <w:snapToGrid w:val="0"/>
                <w:color w:val="auto"/>
                <w:spacing w:val="-4"/>
                <w:kern w:val="0"/>
                <w:sz w:val="28"/>
                <w:szCs w:val="28"/>
                <w:lang w:val="en-US" w:eastAsia="en-US"/>
              </w:rPr>
              <w:t>医疗器械</w:t>
            </w:r>
          </w:p>
          <w:p w14:paraId="5E501E0D">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注册证</w:t>
            </w:r>
            <w:bookmarkEnd w:id="8"/>
          </w:p>
        </w:tc>
        <w:tc>
          <w:tcPr>
            <w:tcW w:w="7430" w:type="dxa"/>
            <w:tcBorders>
              <w:top w:val="single" w:color="000000" w:sz="4" w:space="0"/>
              <w:left w:val="single" w:color="000000" w:sz="4" w:space="0"/>
              <w:bottom w:val="single" w:color="000000" w:sz="4" w:space="0"/>
              <w:right w:val="single" w:color="000000" w:sz="4" w:space="0"/>
            </w:tcBorders>
            <w:shd w:val="clear" w:color="auto" w:fill="FFFFFF"/>
          </w:tcPr>
          <w:p w14:paraId="591043B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zh-CN"/>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以上货物供应商所投产品属医疗器械管理范畴的，投标产品属第二、三类医疗器械产品的，投标响应文件中须按《医疗器械注册与备案管理办法》（国家市场监督管理总局令第47号）提供该设备有效的医疗器械注册证复印件加盖投标人单位公章，否则投标无效。</w:t>
            </w:r>
          </w:p>
        </w:tc>
      </w:tr>
      <w:tr w14:paraId="2A51B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61DD5">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zh-CN"/>
              </w:rPr>
            </w:pPr>
            <w:r>
              <w:rPr>
                <w:rFonts w:hint="eastAsia" w:ascii="方正仿宋_GB2312" w:hAnsi="方正仿宋_GB2312" w:eastAsia="方正仿宋_GB2312" w:cs="方正仿宋_GB2312"/>
                <w:b w:val="0"/>
                <w:bCs w:val="0"/>
                <w:snapToGrid w:val="0"/>
                <w:color w:val="auto"/>
                <w:spacing w:val="-4"/>
                <w:kern w:val="0"/>
                <w:sz w:val="28"/>
                <w:szCs w:val="28"/>
                <w:lang w:val="en-US" w:eastAsia="zh-CN"/>
              </w:rPr>
              <w:t>9</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C58BE">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bookmarkStart w:id="9" w:name="_Toc204778411"/>
            <w:r>
              <w:rPr>
                <w:rFonts w:hint="eastAsia" w:ascii="方正仿宋_GB2312" w:hAnsi="方正仿宋_GB2312" w:eastAsia="方正仿宋_GB2312" w:cs="方正仿宋_GB2312"/>
                <w:b w:val="0"/>
                <w:bCs w:val="0"/>
                <w:snapToGrid w:val="0"/>
                <w:color w:val="auto"/>
                <w:spacing w:val="-4"/>
                <w:kern w:val="0"/>
                <w:sz w:val="28"/>
                <w:szCs w:val="28"/>
                <w:lang w:val="en-US" w:eastAsia="en-US"/>
              </w:rPr>
              <w:t>验收标准、</w:t>
            </w:r>
          </w:p>
          <w:p w14:paraId="45229CBF">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验收方法</w:t>
            </w:r>
          </w:p>
          <w:p w14:paraId="475991EA">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及方案</w:t>
            </w:r>
            <w:bookmarkEnd w:id="9"/>
          </w:p>
        </w:tc>
        <w:tc>
          <w:tcPr>
            <w:tcW w:w="7430" w:type="dxa"/>
            <w:tcBorders>
              <w:top w:val="single" w:color="000000" w:sz="4" w:space="0"/>
              <w:left w:val="single" w:color="000000" w:sz="4" w:space="0"/>
              <w:bottom w:val="single" w:color="000000" w:sz="4" w:space="0"/>
              <w:right w:val="single" w:color="000000" w:sz="4" w:space="0"/>
            </w:tcBorders>
            <w:shd w:val="clear" w:color="auto" w:fill="FFFFFF"/>
          </w:tcPr>
          <w:p w14:paraId="45B42FF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1.中标人提供不符合采购文件、投标文件承诺的或本合同规定的货物，采购人有权拒绝接受。</w:t>
            </w:r>
          </w:p>
          <w:p w14:paraId="215C950E">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2.中标人应将所提供货物的装箱清单、用户手册、原厂保修卡、随机资料、工具和备品、备件、验收单等交付给采购人，如有缺失应在采购人要求的期限内及时补齐，否则视为逾期交货。</w:t>
            </w:r>
          </w:p>
          <w:p w14:paraId="5EBCC57B">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5E7114A5">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auto"/>
                <w:spacing w:val="5"/>
                <w:kern w:val="0"/>
                <w:sz w:val="28"/>
                <w:szCs w:val="28"/>
                <w:lang w:val="en-US" w:eastAsia="zh-CN"/>
              </w:rPr>
              <w:t>中</w:t>
            </w:r>
            <w:r>
              <w:rPr>
                <w:rFonts w:hint="eastAsia" w:ascii="方正仿宋_GB2312" w:hAnsi="方正仿宋_GB2312" w:eastAsia="方正仿宋_GB2312" w:cs="方正仿宋_GB2312"/>
                <w:snapToGrid w:val="0"/>
                <w:color w:val="auto"/>
                <w:spacing w:val="5"/>
                <w:kern w:val="0"/>
                <w:sz w:val="28"/>
                <w:szCs w:val="28"/>
              </w:rPr>
              <w:t>标人承担，其产品须符合国家、行业有关规定。产品到达现场后，中标人应在采购人在场情况下当面开箱，共同清点、检查外观，作出开箱记录，双方签字确</w:t>
            </w:r>
            <w:r>
              <w:rPr>
                <w:rFonts w:hint="eastAsia" w:ascii="方正仿宋_GB2312" w:hAnsi="方正仿宋_GB2312" w:eastAsia="方正仿宋_GB2312" w:cs="方正仿宋_GB2312"/>
                <w:b w:val="0"/>
                <w:bCs w:val="0"/>
                <w:snapToGrid w:val="0"/>
                <w:color w:val="auto"/>
                <w:spacing w:val="5"/>
                <w:kern w:val="0"/>
                <w:sz w:val="28"/>
                <w:szCs w:val="28"/>
              </w:rPr>
              <w:t>认。</w:t>
            </w:r>
            <w:r>
              <w:rPr>
                <w:rFonts w:hint="eastAsia" w:ascii="方正仿宋_GB2312" w:hAnsi="方正仿宋_GB2312" w:eastAsia="方正仿宋_GB2312" w:cs="方正仿宋_GB2312"/>
                <w:b w:val="0"/>
                <w:bCs w:val="0"/>
                <w:color w:val="auto"/>
                <w:spacing w:val="5"/>
                <w:sz w:val="28"/>
                <w:szCs w:val="28"/>
                <w:lang w:val="en-US" w:eastAsia="zh-CN"/>
              </w:rPr>
              <w:t>需提供产品彩页，提供产品发货地（提供物流信息）。</w:t>
            </w:r>
            <w:r>
              <w:rPr>
                <w:rFonts w:hint="eastAsia" w:ascii="方正仿宋_GB2312" w:hAnsi="方正仿宋_GB2312" w:eastAsia="方正仿宋_GB2312" w:cs="方正仿宋_GB2312"/>
                <w:b w:val="0"/>
                <w:bCs w:val="0"/>
                <w:snapToGrid w:val="0"/>
                <w:color w:val="auto"/>
                <w:spacing w:val="5"/>
                <w:kern w:val="0"/>
                <w:sz w:val="28"/>
                <w:szCs w:val="28"/>
              </w:rPr>
              <w:t>中标人应保证货物到达采购人所在地完好无损，如有缺漏</w:t>
            </w:r>
            <w:r>
              <w:rPr>
                <w:rFonts w:hint="eastAsia" w:ascii="方正仿宋_GB2312" w:hAnsi="方正仿宋_GB2312" w:eastAsia="方正仿宋_GB2312" w:cs="方正仿宋_GB2312"/>
                <w:snapToGrid w:val="0"/>
                <w:color w:val="auto"/>
                <w:spacing w:val="5"/>
                <w:kern w:val="0"/>
                <w:sz w:val="28"/>
                <w:szCs w:val="28"/>
              </w:rPr>
              <w:t>、损坏，由中标人负责调换、补齐或赔偿。</w:t>
            </w:r>
          </w:p>
          <w:p w14:paraId="218F7C17">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61283467">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6.中标人提供的货物或服务未达到招标文件规定的要求，且对采购人造成损失的，由中标人承担一切责任，并赔偿所造成的损失。</w:t>
            </w:r>
          </w:p>
          <w:p w14:paraId="26D851BD">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7.采购人需要制造商对中标人交付的产品或服务（包括质量、参数等）进行确认的，制造商应予以配合并出具书面意见，相关配合事项由中标人与制造商协调。</w:t>
            </w:r>
          </w:p>
          <w:p w14:paraId="37B43EA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8.中标人在验收时须附上设备有效的医疗器械注册证及完整内容的医疗器械注册证附件（注册产品标准/产品技术要求）复印件。（如涉及2类、3类医疗器械时必须提供，1类医疗器械如有请提供，不涉及不提供）。</w:t>
            </w:r>
          </w:p>
          <w:p w14:paraId="654FFFB4">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snapToGrid w:val="0"/>
                <w:color w:val="auto"/>
                <w:spacing w:val="5"/>
                <w:kern w:val="0"/>
                <w:sz w:val="28"/>
                <w:szCs w:val="28"/>
              </w:rPr>
              <w:t>9.除采购人需要的产品包装材料外，产品验收后所产生的废弃物（如泡沫、塑料膜、包装袋、安装调试所产生的废弃物等）由中标人处理。</w:t>
            </w:r>
          </w:p>
        </w:tc>
      </w:tr>
      <w:tr w14:paraId="501D6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vAlign w:val="center"/>
          </w:tcPr>
          <w:p w14:paraId="049188FA">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default" w:ascii="方正仿宋_GB2312" w:hAnsi="方正仿宋_GB2312" w:eastAsia="方正仿宋_GB2312" w:cs="方正仿宋_GB2312"/>
                <w:b w:val="0"/>
                <w:bCs w:val="0"/>
                <w:snapToGrid w:val="0"/>
                <w:color w:val="auto"/>
                <w:spacing w:val="-4"/>
                <w:kern w:val="0"/>
                <w:sz w:val="28"/>
                <w:szCs w:val="28"/>
                <w:lang w:val="en-US" w:eastAsia="zh-CN"/>
              </w:rPr>
            </w:pPr>
            <w:r>
              <w:rPr>
                <w:rFonts w:hint="eastAsia" w:ascii="方正仿宋_GB2312" w:hAnsi="方正仿宋_GB2312" w:eastAsia="方正仿宋_GB2312" w:cs="方正仿宋_GB2312"/>
                <w:b w:val="0"/>
                <w:bCs w:val="0"/>
                <w:snapToGrid w:val="0"/>
                <w:color w:val="auto"/>
                <w:spacing w:val="-4"/>
                <w:kern w:val="0"/>
                <w:sz w:val="28"/>
                <w:szCs w:val="28"/>
                <w:lang w:val="en-US" w:eastAsia="zh-CN"/>
              </w:rPr>
              <w:t>10</w:t>
            </w:r>
          </w:p>
        </w:tc>
        <w:tc>
          <w:tcPr>
            <w:tcW w:w="1855" w:type="dxa"/>
            <w:vAlign w:val="center"/>
          </w:tcPr>
          <w:p w14:paraId="05982275">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违约责任</w:t>
            </w:r>
          </w:p>
          <w:p w14:paraId="386EA62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p>
        </w:tc>
        <w:tc>
          <w:tcPr>
            <w:tcW w:w="7430" w:type="dxa"/>
          </w:tcPr>
          <w:p w14:paraId="07E973E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1.中标人所提供的货物规格、技术标准、材料等质量不合格或不符合相关法律法规的，应按要求在5日内更换完毕，更换不 及时的按逾期交货处罚，并承担由此造成的损失</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若货物投入使用后，采购人在使用过程中发现货物存在交货当下未发现的其他技术标准、材料等质量不合格或不符合相关法律法规问题的（包括中标人应提供而未提供的相关法律法规要求必须具备的资质材料或资质材料到期未及时更新提供的），采购人可以要求更换或退货，中标人须支付采购人该批货款额的30%作为赔偿金。存在质量问题的，采购人有权拒绝接收，同时有权要求中标人支付该批货款额的 5%违约金并赔偿采购人经济损失。</w:t>
            </w:r>
          </w:p>
          <w:p w14:paraId="2210F655">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2.中标人提供的货物如侵犯了第三方合法权益而引发的任何纠纷或诉讼，均由中标人负责交涉并承担全部责任。如因提供的 货物侵犯了第三方合法权益而引发了纠纷或诉讼，导致无法按期交付使用的，采购人可拒绝验收，同时有权要求中标人支付该批货款额的5%违约金并赔偿采购人经济损失。</w:t>
            </w:r>
          </w:p>
          <w:p w14:paraId="7FC6ED4C">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3.因包装、运输引起的货物损坏，按质量不合格处理。</w:t>
            </w:r>
          </w:p>
          <w:p w14:paraId="0D8A7552">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4.中标人逾期交货的，每天向采购人偿付该逾期交付货物金额的3‰违约金，但违约金累计不得超过该批货款额的5%。超过</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2</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0天采购人有权解除合同，中标人承担因此给采购人造成的经济损失。</w:t>
            </w:r>
          </w:p>
          <w:p w14:paraId="13C3963F">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51679EF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6.中标人提供的货物在质量保证期内，因设计、工艺或材料的缺陷和其他质量原因造成的问题的，产生的维修或更换费用、 给采购人造成的经济损失均由中标人承担。</w:t>
            </w:r>
          </w:p>
          <w:p w14:paraId="0F4B4148">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7.如发现所提供的产品有弄虚作假的行为，采购人有权拒绝接收产品或退货，并要求中标人赔偿损失，此赔偿总额为该批货款的 50%，同时采购人有权单方终止协议。</w:t>
            </w:r>
          </w:p>
          <w:p w14:paraId="551413D0">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8.将本项目转让、分包给他人的，一经发现，采购人有权单方终止协议，并有权要求中标人承担由此造成的一切经济损失。</w:t>
            </w:r>
          </w:p>
          <w:p w14:paraId="7E48F64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9.其他违约行为按违约货款额 5%收取违约金并赔偿经济损失。</w:t>
            </w:r>
          </w:p>
        </w:tc>
      </w:tr>
      <w:tr w14:paraId="78F00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vAlign w:val="center"/>
          </w:tcPr>
          <w:p w14:paraId="04CF946B">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default" w:ascii="方正仿宋_GB2312" w:hAnsi="方正仿宋_GB2312" w:eastAsia="方正仿宋_GB2312" w:cs="方正仿宋_GB2312"/>
                <w:b w:val="0"/>
                <w:bCs w:val="0"/>
                <w:snapToGrid w:val="0"/>
                <w:color w:val="auto"/>
                <w:spacing w:val="-4"/>
                <w:kern w:val="0"/>
                <w:sz w:val="28"/>
                <w:szCs w:val="28"/>
                <w:lang w:val="en-US" w:eastAsia="zh-CN"/>
              </w:rPr>
            </w:pPr>
            <w:r>
              <w:rPr>
                <w:rFonts w:hint="eastAsia" w:ascii="方正仿宋_GB2312" w:hAnsi="方正仿宋_GB2312" w:eastAsia="方正仿宋_GB2312" w:cs="方正仿宋_GB2312"/>
                <w:b w:val="0"/>
                <w:bCs w:val="0"/>
                <w:snapToGrid w:val="0"/>
                <w:color w:val="auto"/>
                <w:spacing w:val="-4"/>
                <w:kern w:val="0"/>
                <w:sz w:val="28"/>
                <w:szCs w:val="28"/>
                <w:lang w:val="en-US" w:eastAsia="zh-CN"/>
              </w:rPr>
              <w:t>11</w:t>
            </w:r>
          </w:p>
        </w:tc>
        <w:tc>
          <w:tcPr>
            <w:tcW w:w="1855" w:type="dxa"/>
            <w:vAlign w:val="center"/>
          </w:tcPr>
          <w:p w14:paraId="464DB67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使用期限要求</w:t>
            </w:r>
          </w:p>
        </w:tc>
        <w:tc>
          <w:tcPr>
            <w:tcW w:w="7430" w:type="dxa"/>
          </w:tcPr>
          <w:p w14:paraId="4A5D1E40">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1.中标人所提供货物如有“使用期限”要求的，需逐台写明该设备的“使用期限”。</w:t>
            </w:r>
          </w:p>
          <w:p w14:paraId="0440A7B7">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2.中标人交货时，所提供货物如有“使用期限”要求的，应符合以下要求：</w:t>
            </w:r>
          </w:p>
          <w:p w14:paraId="47BC3982">
            <w:pPr>
              <w:keepNext w:val="0"/>
              <w:keepLines w:val="0"/>
              <w:pageBreakBefore w:val="0"/>
              <w:widowControl/>
              <w:suppressLineNumbers w:val="0"/>
              <w:overflowPunct/>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0B9E1C20">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snapToGrid w:val="0"/>
                <w:color w:val="auto"/>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60156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7280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default" w:ascii="方正仿宋_GB2312" w:hAnsi="方正仿宋_GB2312" w:eastAsia="方正仿宋_GB2312" w:cs="方正仿宋_GB2312"/>
                <w:b w:val="0"/>
                <w:bCs w:val="0"/>
                <w:snapToGrid w:val="0"/>
                <w:color w:val="auto"/>
                <w:spacing w:val="-4"/>
                <w:kern w:val="0"/>
                <w:sz w:val="28"/>
                <w:szCs w:val="28"/>
                <w:lang w:val="en-US" w:eastAsia="zh-CN"/>
              </w:rPr>
            </w:pPr>
            <w:r>
              <w:rPr>
                <w:rFonts w:hint="eastAsia" w:ascii="方正仿宋_GB2312" w:hAnsi="方正仿宋_GB2312" w:eastAsia="方正仿宋_GB2312" w:cs="方正仿宋_GB2312"/>
                <w:b w:val="0"/>
                <w:bCs w:val="0"/>
                <w:snapToGrid w:val="0"/>
                <w:color w:val="auto"/>
                <w:spacing w:val="-4"/>
                <w:kern w:val="0"/>
                <w:sz w:val="28"/>
                <w:szCs w:val="28"/>
                <w:lang w:val="en-US" w:eastAsia="zh-CN"/>
              </w:rPr>
              <w:t>12</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A55CD">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bookmarkStart w:id="10" w:name="_Toc204778413"/>
            <w:r>
              <w:rPr>
                <w:rFonts w:hint="eastAsia" w:ascii="方正仿宋_GB2312" w:hAnsi="方正仿宋_GB2312" w:eastAsia="方正仿宋_GB2312" w:cs="方正仿宋_GB2312"/>
                <w:b w:val="0"/>
                <w:bCs w:val="0"/>
                <w:snapToGrid w:val="0"/>
                <w:color w:val="auto"/>
                <w:spacing w:val="-4"/>
                <w:kern w:val="0"/>
                <w:sz w:val="28"/>
                <w:szCs w:val="28"/>
                <w:lang w:val="en-US" w:eastAsia="en-US"/>
              </w:rPr>
              <w:t>其他</w:t>
            </w:r>
          </w:p>
          <w:p w14:paraId="641C47E8">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b w:val="0"/>
                <w:bCs w:val="0"/>
                <w:snapToGrid w:val="0"/>
                <w:color w:val="auto"/>
                <w:spacing w:val="-4"/>
                <w:kern w:val="0"/>
                <w:sz w:val="28"/>
                <w:szCs w:val="28"/>
                <w:lang w:val="en-US" w:eastAsia="en-US"/>
              </w:rPr>
              <w:t>要求</w:t>
            </w:r>
            <w:bookmarkEnd w:id="10"/>
          </w:p>
        </w:tc>
        <w:tc>
          <w:tcPr>
            <w:tcW w:w="7430" w:type="dxa"/>
            <w:tcBorders>
              <w:top w:val="single" w:color="000000" w:sz="4" w:space="0"/>
              <w:left w:val="single" w:color="000000" w:sz="4" w:space="0"/>
              <w:bottom w:val="single" w:color="000000" w:sz="4" w:space="0"/>
              <w:right w:val="single" w:color="000000" w:sz="4" w:space="0"/>
            </w:tcBorders>
            <w:shd w:val="clear" w:color="auto" w:fill="FFFFFF"/>
          </w:tcPr>
          <w:p w14:paraId="0CA70BF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10ABBBA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原件备查。</w:t>
            </w:r>
          </w:p>
          <w:p w14:paraId="3150360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.在安装期间，未按安全文明作业规范要求进行的，尤其是违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auto"/>
                <w:spacing w:val="5"/>
                <w:kern w:val="0"/>
                <w:sz w:val="28"/>
                <w:szCs w:val="28"/>
              </w:rPr>
              <w:t xml:space="preserve">工完场清和禁烟规定的，限期整改不合格的，视情节严重情况扣除合同款项10-1000元/次。 </w:t>
            </w:r>
          </w:p>
          <w:p w14:paraId="18E620E1">
            <w:pPr>
              <w:keepNext/>
              <w:keepLines/>
              <w:pageBreakBefore w:val="0"/>
              <w:widowControl w:val="0"/>
              <w:suppressLineNumbers w:val="0"/>
              <w:kinsoku/>
              <w:wordWrap w:val="0"/>
              <w:overflowPunct/>
              <w:topLinePunct/>
              <w:autoSpaceDE/>
              <w:autoSpaceDN/>
              <w:bidi w:val="0"/>
              <w:adjustRightInd w:val="0"/>
              <w:snapToGrid w:val="0"/>
              <w:spacing w:line="240" w:lineRule="auto"/>
              <w:ind w:firstLine="290" w:firstLineChars="100"/>
              <w:jc w:val="left"/>
              <w:textAlignment w:val="center"/>
              <w:rPr>
                <w:rFonts w:hint="eastAsia" w:ascii="方正仿宋_GB2312" w:hAnsi="方正仿宋_GB2312" w:eastAsia="方正仿宋_GB2312" w:cs="方正仿宋_GB2312"/>
                <w:b w:val="0"/>
                <w:bCs w:val="0"/>
                <w:snapToGrid w:val="0"/>
                <w:color w:val="auto"/>
                <w:spacing w:val="-4"/>
                <w:kern w:val="0"/>
                <w:sz w:val="28"/>
                <w:szCs w:val="28"/>
                <w:lang w:val="en-US" w:eastAsia="en-US"/>
              </w:rPr>
            </w:pP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 xml:space="preserve">.发生其他安装和维保不合格情况的，限期整改不合格的，视情节严重情况扣除合同款项10-1000元/次。情节特别严重，导致项目无法实施的，采购人免责终止该项目合同。 </w:t>
            </w:r>
          </w:p>
        </w:tc>
      </w:tr>
    </w:tbl>
    <w:p w14:paraId="69CCD596">
      <w:pPr>
        <w:jc w:val="left"/>
        <w:rPr>
          <w:rFonts w:hint="eastAsia"/>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FA6F6C51-CD18-4A17-A261-518574A99443}"/>
  </w:font>
  <w:font w:name="方正仿宋_GB2312">
    <w:panose1 w:val="02000000000000000000"/>
    <w:charset w:val="86"/>
    <w:family w:val="auto"/>
    <w:pitch w:val="default"/>
    <w:sig w:usb0="A00002BF" w:usb1="184F6CFA" w:usb2="00000012" w:usb3="00000000" w:csb0="00040001" w:csb1="00000000"/>
    <w:embedRegular r:id="rId2" w:fontKey="{E072F53E-C2FC-4DF5-B88E-44A8CD8B9265}"/>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C1D"/>
    <w:rsid w:val="00340290"/>
    <w:rsid w:val="00486685"/>
    <w:rsid w:val="00491C1D"/>
    <w:rsid w:val="00581BED"/>
    <w:rsid w:val="00816987"/>
    <w:rsid w:val="025E00B4"/>
    <w:rsid w:val="04324803"/>
    <w:rsid w:val="053718C6"/>
    <w:rsid w:val="078A25D6"/>
    <w:rsid w:val="08BE26F6"/>
    <w:rsid w:val="08F31FA8"/>
    <w:rsid w:val="0D1F34B9"/>
    <w:rsid w:val="0D252DF0"/>
    <w:rsid w:val="0D4525A2"/>
    <w:rsid w:val="0DE67075"/>
    <w:rsid w:val="0EF34D0A"/>
    <w:rsid w:val="0F460B7F"/>
    <w:rsid w:val="112D56E8"/>
    <w:rsid w:val="13734411"/>
    <w:rsid w:val="151E215B"/>
    <w:rsid w:val="18455E2E"/>
    <w:rsid w:val="19D1592B"/>
    <w:rsid w:val="1E3D7AF5"/>
    <w:rsid w:val="220D77DF"/>
    <w:rsid w:val="244D0366"/>
    <w:rsid w:val="24F90B21"/>
    <w:rsid w:val="25C6309C"/>
    <w:rsid w:val="2B7E5E4F"/>
    <w:rsid w:val="2DBE020A"/>
    <w:rsid w:val="2FCF4325"/>
    <w:rsid w:val="32727793"/>
    <w:rsid w:val="32877139"/>
    <w:rsid w:val="34270E16"/>
    <w:rsid w:val="351A4B0B"/>
    <w:rsid w:val="373A6E70"/>
    <w:rsid w:val="377E6FC0"/>
    <w:rsid w:val="3B9867A0"/>
    <w:rsid w:val="3F1B12B1"/>
    <w:rsid w:val="4267663F"/>
    <w:rsid w:val="44DD0E3B"/>
    <w:rsid w:val="44DE66E5"/>
    <w:rsid w:val="45C80B46"/>
    <w:rsid w:val="47842138"/>
    <w:rsid w:val="48863254"/>
    <w:rsid w:val="4D5A0977"/>
    <w:rsid w:val="4E355522"/>
    <w:rsid w:val="4FC37491"/>
    <w:rsid w:val="51EE6435"/>
    <w:rsid w:val="54330833"/>
    <w:rsid w:val="54A43723"/>
    <w:rsid w:val="55425416"/>
    <w:rsid w:val="55EB785C"/>
    <w:rsid w:val="570566FB"/>
    <w:rsid w:val="58474AF1"/>
    <w:rsid w:val="597B2605"/>
    <w:rsid w:val="5E954808"/>
    <w:rsid w:val="5E9C28E0"/>
    <w:rsid w:val="641722F5"/>
    <w:rsid w:val="65404DA2"/>
    <w:rsid w:val="66EF082E"/>
    <w:rsid w:val="67933BF7"/>
    <w:rsid w:val="67BE346E"/>
    <w:rsid w:val="693D2A30"/>
    <w:rsid w:val="6A890F99"/>
    <w:rsid w:val="6B4D5A04"/>
    <w:rsid w:val="6CD858B4"/>
    <w:rsid w:val="709B77FB"/>
    <w:rsid w:val="729013C7"/>
    <w:rsid w:val="7446499E"/>
    <w:rsid w:val="75BA294F"/>
    <w:rsid w:val="799B537E"/>
    <w:rsid w:val="7AE55A9A"/>
    <w:rsid w:val="7D4D1C9B"/>
    <w:rsid w:val="7D546E49"/>
    <w:rsid w:val="7F2552DD"/>
    <w:rsid w:val="7F7A3E7E"/>
    <w:rsid w:val="7F966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Plain Text"/>
    <w:qFormat/>
    <w:uiPriority w:val="0"/>
    <w:pPr>
      <w:kinsoku w:val="0"/>
      <w:autoSpaceDE w:val="0"/>
      <w:autoSpaceDN w:val="0"/>
      <w:adjustRightInd w:val="0"/>
      <w:snapToGrid w:val="0"/>
      <w:spacing w:line="240" w:lineRule="auto"/>
      <w:jc w:val="left"/>
      <w:textAlignment w:val="baseline"/>
    </w:pPr>
    <w:rPr>
      <w:rFonts w:ascii="宋体" w:hAnsi="Courier New" w:eastAsia="Arial" w:cs="Courier New"/>
      <w:snapToGrid w:val="0"/>
      <w:color w:val="000000"/>
      <w:kern w:val="0"/>
      <w:sz w:val="21"/>
      <w:szCs w:val="21"/>
      <w:lang w:val="en-US" w:eastAsia="en-US" w:bidi="ar-SA"/>
    </w:rPr>
  </w:style>
  <w:style w:type="paragraph" w:styleId="12">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qFormat/>
    <w:uiPriority w:val="0"/>
    <w:pPr>
      <w:spacing w:beforeAutospacing="1" w:afterAutospacing="1"/>
      <w:jc w:val="left"/>
    </w:pPr>
    <w:rPr>
      <w:rFonts w:eastAsia="仿宋" w:cs="Times New Roman"/>
      <w:kern w:val="0"/>
      <w14:ligatures w14:val="none"/>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table" w:customStyle="1" w:styleId="3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5312</Words>
  <Characters>5507</Characters>
  <Lines>1</Lines>
  <Paragraphs>1</Paragraphs>
  <TotalTime>3</TotalTime>
  <ScaleCrop>false</ScaleCrop>
  <LinksUpToDate>false</LinksUpToDate>
  <CharactersWithSpaces>5521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2026-04-15T13:53:00Z</dcterms:created>
  <dc:creator>仲尔 罗</dc:creator>
  <cp:lastModifiedBy>YXZB</cp:lastModifiedBy>
  <dcterms:modified xsi:type="dcterms:W3CDTF">2026-06-17T01:42:07Z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eyJoZGlkIjoiZGQwOTExMzJhM2Y3NWFlN2ZhYzMwNzY5MTY3N2NmMzMiLCJ1c2VySWQiOiI3MjI0MjIxMDgifQ==</vt:lpwstr>
  </property>
  <property fmtid="{D5CDD505-2E9C-101B-9397-08002B2CF9AE}" pid="3" name="KSOProductBuildVer">
    <vt:lpwstr>2052-12.1.0.26895</vt:lpwstr>
  </property>
  <property fmtid="{D5CDD505-2E9C-101B-9397-08002B2CF9AE}" pid="4" name="ICV">
    <vt:lpwstr>0030C335B6214A0E8EB18CD2A27ED13E_12</vt:lpwstr>
  </property>
</Properties>
</file>