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14EF8">
      <w:pPr>
        <w:pStyle w:val="4"/>
        <w:keepNext/>
        <w:keepLines w:val="0"/>
        <w:pageBreakBefore w:val="0"/>
        <w:widowControl w:val="0"/>
        <w:kinsoku/>
        <w:wordWrap w:val="0"/>
        <w:overflowPunct/>
        <w:topLinePunct/>
        <w:autoSpaceDE/>
        <w:autoSpaceDN/>
        <w:bidi w:val="0"/>
        <w:adjustRightInd w:val="0"/>
        <w:snapToGrid w:val="0"/>
        <w:spacing w:before="120" w:after="120" w:line="700" w:lineRule="exact"/>
        <w:jc w:val="center"/>
        <w:textAlignment w:val="baseline"/>
        <w:outlineLvl w:val="0"/>
        <w:rPr>
          <w:rFonts w:hint="eastAsia" w:ascii="方正小标宋简体" w:hAnsi="方正小标宋简体" w:eastAsia="方正小标宋简体" w:cs="方正小标宋简体"/>
          <w:b/>
          <w:bCs/>
          <w:sz w:val="48"/>
          <w:szCs w:val="48"/>
        </w:rPr>
      </w:pPr>
      <w:r>
        <w:rPr>
          <w:rFonts w:hint="eastAsia" w:ascii="方正小标宋简体" w:hAnsi="方正小标宋简体" w:eastAsia="方正小标宋简体" w:cs="方正小标宋简体"/>
          <w:b/>
          <w:bCs/>
          <w:spacing w:val="34"/>
          <w:sz w:val="48"/>
          <w:szCs w:val="48"/>
        </w:rPr>
        <w:t>采购需求</w:t>
      </w:r>
    </w:p>
    <w:p w14:paraId="6CFDF071">
      <w:pPr>
        <w:keepNext/>
        <w:keepLines w:val="0"/>
        <w:pageBreakBefore w:val="0"/>
        <w:widowControl w:val="0"/>
        <w:kinsoku/>
        <w:wordWrap w:val="0"/>
        <w:overflowPunct/>
        <w:topLinePunct/>
        <w:autoSpaceDE/>
        <w:autoSpaceDN/>
        <w:bidi w:val="0"/>
        <w:adjustRightInd w:val="0"/>
        <w:snapToGrid w:val="0"/>
        <w:spacing w:line="312" w:lineRule="auto"/>
        <w:jc w:val="left"/>
        <w:rPr>
          <w:rFonts w:hint="eastAsia" w:ascii="方正仿宋_GB2312" w:hAnsi="方正仿宋_GB2312" w:eastAsia="方正仿宋_GB2312" w:cs="方正仿宋_GB2312"/>
          <w:b/>
          <w:bCs/>
          <w:kern w:val="0"/>
          <w:sz w:val="28"/>
          <w:szCs w:val="28"/>
        </w:rPr>
      </w:pPr>
    </w:p>
    <w:p w14:paraId="33FBC3CF">
      <w:pPr>
        <w:keepNext/>
        <w:keepLines w:val="0"/>
        <w:pageBreakBefore w:val="0"/>
        <w:widowControl w:val="0"/>
        <w:kinsoku/>
        <w:wordWrap w:val="0"/>
        <w:overflowPunct/>
        <w:topLinePunct/>
        <w:autoSpaceDE/>
        <w:autoSpaceDN/>
        <w:bidi w:val="0"/>
        <w:adjustRightInd w:val="0"/>
        <w:snapToGrid w:val="0"/>
        <w:spacing w:line="440" w:lineRule="exact"/>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b/>
          <w:kern w:val="0"/>
          <w:sz w:val="28"/>
          <w:szCs w:val="28"/>
        </w:rPr>
        <w:t>一、总体要求</w:t>
      </w:r>
    </w:p>
    <w:p w14:paraId="43E887DB">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本需求表中的品牌型号仅起参考作用，投标人可选用其他品牌型号替代，但这些替代的品牌型号要实质上相当于或优于参考品牌型号及其技术参数性能（配置）要求。本需求表中参考品牌型号及技术参数和性能（配置）不明确或有误的，或投标人选用其他品牌型号替代的，请以详细、正确的品牌型号、 技术参数和性能配置填写投标报价表和技术响应表。技术响应表须按技术参数及性能（配置）要求一一对应响应。</w:t>
      </w:r>
    </w:p>
    <w:p w14:paraId="07EDC35C">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凡在“技术参数及性能（配置）要求”中表述为“标配”或“标准配置”的设备，投标人应在投标报价明细表中将其标配参数详细列明，否则该投标无效。</w:t>
      </w:r>
    </w:p>
    <w:p w14:paraId="0D8756EB">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58A975D1">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供应商必须自行为其投标产品侵犯其他供应商或专利人的专利成果承担相应法律责任；同时，具有产品专利的供应商应在其投标文件中提供与其自有产品专利相关的有效证明材料，否则，不能就其产品的专利在本项目投标过程中被侵权的问题提出异议。</w:t>
      </w:r>
    </w:p>
    <w:p w14:paraId="19027D8E">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根据《财政部发展改革委生态环境部市场监管总局关于调整优化节能产品、环境标志产品政府采购执行机制的通知》（财库〔2019〕9 号）和《关于印发节能产品政府采购品目清单的通知》（财库〔2019〕19 号）的规定，采购需求中的产品属于节能产品政府采购品目清单内标注“</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的（详见本章后附的节能产品政府采购品目清单），供应商的投标货物必须使用政府强制采购的节能产品，必须提供所投产品的证明材料（国家确定的认证机构出具的、处于有效期之内的节能产品认证证书复印件，加盖供应商公章），否则投标无效。</w:t>
      </w:r>
    </w:p>
    <w:p w14:paraId="00350510">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sz w:val="28"/>
          <w:szCs w:val="28"/>
        </w:rPr>
        <w:t>6</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实质性要求”是指招标文件中已经指明不满足则投标无效的条款，或者不能负偏离的条款，或者采购需求中带“▲”的条款。标注“▲”的条款或要求系指实质性条款或实质性要求，必须满足，如存在负偏离将导致投标被否决。</w:t>
      </w:r>
    </w:p>
    <w:p w14:paraId="2B52DCC1">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b/>
          <w:bCs/>
          <w:snapToGrid w:val="0"/>
          <w:color w:val="FF0000"/>
          <w:kern w:val="0"/>
          <w:sz w:val="28"/>
          <w:szCs w:val="28"/>
          <w:lang w:val="en-US" w:eastAsia="zh-CN" w:bidi="ar-SA"/>
          <w:woUserID w:val="2"/>
        </w:rPr>
      </w:pPr>
      <w:r>
        <w:rPr>
          <w:rFonts w:hint="eastAsia" w:ascii="方正仿宋_GB2312" w:hAnsi="方正仿宋_GB2312" w:eastAsia="方正仿宋_GB2312" w:cs="方正仿宋_GB2312"/>
          <w:b w:val="0"/>
          <w:bCs w:val="0"/>
          <w:sz w:val="28"/>
          <w:szCs w:val="28"/>
        </w:rPr>
        <w:t>7、</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标记“</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”号为</w:t>
      </w:r>
      <w:r>
        <w:rPr>
          <w:rFonts w:hint="eastAsia" w:ascii="方正仿宋_GB2312" w:hAnsi="方正仿宋_GB2312" w:eastAsia="方正仿宋_GB2312" w:cs="方正仿宋_GB2312"/>
          <w:b/>
          <w:bCs/>
          <w:snapToGrid w:val="0"/>
          <w:color w:val="FF0000"/>
          <w:kern w:val="0"/>
          <w:sz w:val="28"/>
          <w:szCs w:val="28"/>
          <w:lang w:val="en-US" w:eastAsia="zh-CN" w:bidi="ar-SA"/>
          <w:woUserID w:val="2"/>
        </w:rPr>
        <w:t>实质性参数</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，如有偏离</w:t>
      </w:r>
      <w:r>
        <w:rPr>
          <w:rFonts w:hint="eastAsia" w:ascii="方正仿宋_GB2312" w:hAnsi="方正仿宋_GB2312" w:eastAsia="方正仿宋_GB2312" w:cs="方正仿宋_GB2312"/>
          <w:b/>
          <w:bCs/>
          <w:snapToGrid w:val="0"/>
          <w:color w:val="FF0000"/>
          <w:kern w:val="0"/>
          <w:sz w:val="28"/>
          <w:szCs w:val="28"/>
          <w:lang w:val="en-US" w:eastAsia="zh-CN" w:bidi="ar-SA"/>
          <w:woUserID w:val="2"/>
        </w:rPr>
        <w:t>投标无效</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，未标注符号为普通技术参数为非实质性参数</w:t>
      </w:r>
      <w:r>
        <w:rPr>
          <w:rFonts w:hint="eastAsia" w:ascii="方正仿宋_GB2312" w:hAnsi="方正仿宋_GB2312" w:eastAsia="方正仿宋_GB2312" w:cs="方正仿宋_GB2312"/>
          <w:b/>
          <w:bCs/>
          <w:snapToGrid w:val="0"/>
          <w:color w:val="FF0000"/>
          <w:kern w:val="0"/>
          <w:sz w:val="28"/>
          <w:szCs w:val="28"/>
          <w:lang w:val="en-US" w:eastAsia="zh-CN" w:bidi="ar-SA"/>
          <w:woUserID w:val="2"/>
        </w:rPr>
        <w:t>。非实质性技术参数发生负偏离或不响应达2项（含）以上的，投标无效。</w:t>
      </w:r>
    </w:p>
    <w:p w14:paraId="69B6EA2C">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sz w:val="28"/>
          <w:szCs w:val="28"/>
        </w:rPr>
        <w:t>8</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实质性参数（标注“▲”的条款）需提供证明材料：</w:t>
      </w:r>
      <w:r>
        <w:rPr>
          <w:rFonts w:hint="eastAsia" w:ascii="方正仿宋_GB2312" w:hAnsi="方正仿宋_GB2312" w:eastAsia="方正仿宋_GB2312" w:cs="方正仿宋_GB2312"/>
          <w:b/>
          <w:bCs/>
          <w:sz w:val="28"/>
          <w:szCs w:val="28"/>
        </w:rPr>
        <w:t>产品彩页或说明书或技术白皮书或厂家确认盖章有该参数功能的证明材料，否则评标委员会将可能不予以认可</w:t>
      </w:r>
      <w:r>
        <w:rPr>
          <w:rFonts w:hint="eastAsia" w:ascii="方正仿宋_GB2312" w:hAnsi="方正仿宋_GB2312" w:eastAsia="方正仿宋_GB2312" w:cs="方正仿宋_GB2312"/>
          <w:b/>
          <w:bCs/>
          <w:color w:val="auto"/>
          <w:sz w:val="28"/>
          <w:szCs w:val="28"/>
          <w:highlight w:val="none"/>
        </w:rPr>
        <w:t>，并按照负偏离认</w:t>
      </w:r>
      <w:r>
        <w:rPr>
          <w:rFonts w:hint="eastAsia" w:ascii="方正仿宋_GB2312" w:hAnsi="方正仿宋_GB2312" w:eastAsia="方正仿宋_GB2312" w:cs="方正仿宋_GB2312"/>
          <w:b/>
          <w:bCs/>
          <w:color w:val="auto"/>
          <w:sz w:val="28"/>
          <w:szCs w:val="28"/>
          <w:highlight w:val="none"/>
          <w:lang w:val="en-US" w:eastAsia="zh-CN"/>
        </w:rPr>
        <w:t>定</w:t>
      </w:r>
      <w:r>
        <w:rPr>
          <w:rFonts w:hint="eastAsia" w:ascii="方正仿宋_GB2312" w:hAnsi="方正仿宋_GB2312" w:eastAsia="方正仿宋_GB2312" w:cs="方正仿宋_GB2312"/>
          <w:b/>
          <w:bCs/>
          <w:color w:val="auto"/>
          <w:sz w:val="28"/>
          <w:szCs w:val="28"/>
          <w:highlight w:val="none"/>
        </w:rPr>
        <w:t>。</w:t>
      </w:r>
    </w:p>
    <w:p w14:paraId="64CCB7A2">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招标文件中所要求提供的证明材料，如为英文文本的请提供中文翻译文本。</w:t>
      </w:r>
    </w:p>
    <w:p w14:paraId="16894D3F">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sz w:val="28"/>
          <w:szCs w:val="28"/>
          <w:lang w:eastAsia="zh-CN"/>
          <w:woUserID w:val="2"/>
        </w:rPr>
      </w:pPr>
      <w:r>
        <w:rPr>
          <w:rFonts w:hint="eastAsia" w:ascii="方正仿宋_GB2312" w:hAnsi="方正仿宋_GB2312" w:eastAsia="方正仿宋_GB2312" w:cs="方正仿宋_GB2312"/>
          <w:sz w:val="28"/>
          <w:szCs w:val="28"/>
          <w:woUserID w:val="2"/>
        </w:rPr>
        <w:t>10、本项目中小企业划分标准所属行业名称：工业</w:t>
      </w:r>
      <w:r>
        <w:rPr>
          <w:rFonts w:hint="eastAsia" w:ascii="方正仿宋_GB2312" w:hAnsi="方正仿宋_GB2312" w:eastAsia="方正仿宋_GB2312" w:cs="方正仿宋_GB2312"/>
          <w:sz w:val="28"/>
          <w:szCs w:val="28"/>
          <w:lang w:eastAsia="zh-CN"/>
          <w:woUserID w:val="2"/>
        </w:rPr>
        <w:t>。</w:t>
      </w:r>
    </w:p>
    <w:p w14:paraId="2E422E03">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sz w:val="28"/>
          <w:szCs w:val="28"/>
        </w:rPr>
      </w:pPr>
    </w:p>
    <w:p w14:paraId="49F3551E">
      <w:pPr>
        <w:keepNext/>
        <w:keepLines w:val="0"/>
        <w:pageBreakBefore w:val="0"/>
        <w:widowControl w:val="0"/>
        <w:kinsoku/>
        <w:wordWrap w:val="0"/>
        <w:overflowPunct/>
        <w:topLinePunct/>
        <w:autoSpaceDE/>
        <w:autoSpaceDN/>
        <w:bidi w:val="0"/>
        <w:adjustRightInd w:val="0"/>
        <w:snapToGrid w:val="0"/>
        <w:spacing w:line="440" w:lineRule="exact"/>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b/>
          <w:kern w:val="0"/>
          <w:sz w:val="28"/>
          <w:szCs w:val="28"/>
        </w:rPr>
        <w:t>二、技术要求</w:t>
      </w:r>
    </w:p>
    <w:p w14:paraId="2076D0B9">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1.项目名称：除颤监护仪采购项目</w:t>
      </w:r>
    </w:p>
    <w:p w14:paraId="5B94579D">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2.控制价：25000元每台，数量2台，合计50000元</w:t>
      </w:r>
    </w:p>
    <w:p w14:paraId="424DB280">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3.质保要求：</w:t>
      </w:r>
      <w:r>
        <w:rPr>
          <w:rFonts w:hint="eastAsia" w:ascii="方正仿宋_GB2312" w:hAnsi="方正仿宋_GB2312" w:eastAsia="方正仿宋_GB2312" w:cs="方正仿宋_GB2312"/>
          <w:color w:val="auto"/>
          <w:sz w:val="28"/>
          <w:szCs w:val="28"/>
          <w:lang w:val="en-US" w:eastAsia="zh-CN"/>
        </w:rPr>
        <w:t>整套设备质保期</w:t>
      </w:r>
      <w:r>
        <w:rPr>
          <w:rFonts w:hint="eastAsia" w:ascii="方正仿宋_GB2312" w:hAnsi="方正仿宋_GB2312" w:eastAsia="方正仿宋_GB2312" w:cs="方正仿宋_GB2312"/>
          <w:sz w:val="28"/>
          <w:szCs w:val="28"/>
          <w:lang w:val="en-US" w:eastAsia="zh-CN"/>
        </w:rPr>
        <w:t>≥3年</w:t>
      </w:r>
    </w:p>
    <w:p w14:paraId="5ECBD783">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4.申请科室：神经内一科、重症康复科</w:t>
      </w:r>
      <w:bookmarkStart w:id="11" w:name="_GoBack"/>
      <w:bookmarkEnd w:id="11"/>
    </w:p>
    <w:tbl>
      <w:tblPr>
        <w:tblStyle w:val="9"/>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125"/>
        <w:gridCol w:w="1131"/>
        <w:gridCol w:w="6812"/>
      </w:tblGrid>
      <w:tr w14:paraId="06C9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1" w:type="dxa"/>
            <w:vAlign w:val="center"/>
          </w:tcPr>
          <w:p w14:paraId="772F8958">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设备</w:t>
            </w:r>
          </w:p>
          <w:p w14:paraId="08DF2D4F">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名称</w:t>
            </w:r>
          </w:p>
        </w:tc>
        <w:tc>
          <w:tcPr>
            <w:tcW w:w="1125" w:type="dxa"/>
            <w:vAlign w:val="center"/>
          </w:tcPr>
          <w:p w14:paraId="5DE5F8E7">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数量及</w:t>
            </w:r>
          </w:p>
          <w:p w14:paraId="548C4ECB">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单位</w:t>
            </w:r>
          </w:p>
        </w:tc>
        <w:tc>
          <w:tcPr>
            <w:tcW w:w="1131" w:type="dxa"/>
            <w:vAlign w:val="center"/>
          </w:tcPr>
          <w:p w14:paraId="2FAC3762">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控制单价</w:t>
            </w:r>
          </w:p>
        </w:tc>
        <w:tc>
          <w:tcPr>
            <w:tcW w:w="6812" w:type="dxa"/>
            <w:vAlign w:val="center"/>
          </w:tcPr>
          <w:p w14:paraId="4ED05605">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技术要求</w:t>
            </w:r>
          </w:p>
        </w:tc>
      </w:tr>
      <w:tr w14:paraId="759C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1" w:type="dxa"/>
            <w:vAlign w:val="center"/>
          </w:tcPr>
          <w:p w14:paraId="770C8B44">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p w14:paraId="4BF0A3AC">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除颤监护仪采购项目</w:t>
            </w:r>
          </w:p>
          <w:p w14:paraId="1B0726B5">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p w14:paraId="14673E02">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p w14:paraId="11A1A4A4">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tc>
        <w:tc>
          <w:tcPr>
            <w:tcW w:w="1125" w:type="dxa"/>
            <w:vAlign w:val="center"/>
          </w:tcPr>
          <w:p w14:paraId="48EFE557">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default" w:ascii="方正仿宋_GB2312" w:hAnsi="方正仿宋_GB2312" w:eastAsia="方正仿宋_GB2312" w:cs="方正仿宋_GB2312"/>
                <w:color w:val="auto"/>
                <w:kern w:val="2"/>
                <w:sz w:val="28"/>
                <w:szCs w:val="28"/>
                <w:vertAlign w:val="baseline"/>
                <w:lang w:val="en-US" w:eastAsia="zh-CN" w:bidi="ar"/>
              </w:rPr>
            </w:pPr>
            <w:r>
              <w:rPr>
                <w:rFonts w:hint="eastAsia" w:ascii="方正仿宋_GB2312" w:hAnsi="方正仿宋_GB2312" w:eastAsia="方正仿宋_GB2312" w:cs="方正仿宋_GB2312"/>
                <w:color w:val="auto"/>
                <w:kern w:val="2"/>
                <w:sz w:val="28"/>
                <w:szCs w:val="28"/>
                <w:vertAlign w:val="baseline"/>
                <w:lang w:val="en-US" w:eastAsia="zh-CN" w:bidi="ar"/>
              </w:rPr>
              <w:t>2台</w:t>
            </w:r>
          </w:p>
        </w:tc>
        <w:tc>
          <w:tcPr>
            <w:tcW w:w="1131" w:type="dxa"/>
            <w:vAlign w:val="center"/>
          </w:tcPr>
          <w:p w14:paraId="29CFED11">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default" w:ascii="方正仿宋_GB2312" w:hAnsi="方正仿宋_GB2312" w:eastAsia="方正仿宋_GB2312" w:cs="方正仿宋_GB2312"/>
                <w:color w:val="auto"/>
                <w:kern w:val="2"/>
                <w:sz w:val="28"/>
                <w:szCs w:val="28"/>
                <w:vertAlign w:val="baseline"/>
                <w:lang w:val="en-US" w:eastAsia="zh-CN" w:bidi="ar"/>
              </w:rPr>
            </w:pPr>
            <w:r>
              <w:rPr>
                <w:rFonts w:hint="eastAsia" w:ascii="方正仿宋_GB2312" w:hAnsi="方正仿宋_GB2312" w:eastAsia="方正仿宋_GB2312" w:cs="方正仿宋_GB2312"/>
                <w:sz w:val="28"/>
                <w:szCs w:val="28"/>
                <w:lang w:val="en-US" w:eastAsia="zh-CN"/>
              </w:rPr>
              <w:t>50000元</w:t>
            </w:r>
          </w:p>
        </w:tc>
        <w:tc>
          <w:tcPr>
            <w:tcW w:w="6812" w:type="dxa"/>
          </w:tcPr>
          <w:p w14:paraId="5E863703">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▲1.具备低能量智能双相波，可根据病人阻抗调整除颤波形。</w:t>
            </w:r>
          </w:p>
          <w:p w14:paraId="358AB3FE">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2.整机重量（含电池）≤4.5kg。</w:t>
            </w:r>
          </w:p>
          <w:p w14:paraId="49F9893B">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3.整机抗跌落≥0.75米，防水/防尘等级≥IP54。</w:t>
            </w:r>
          </w:p>
          <w:p w14:paraId="69431F34">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4.彩色显示屏≥7寸，全触摸电容屏，分辨率≥1024X768像素。</w:t>
            </w:r>
          </w:p>
          <w:p w14:paraId="35AB6E50">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▲5.除颤能量的最高能量≥200J。</w:t>
            </w:r>
          </w:p>
          <w:p w14:paraId="5B5217F9">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6.开机时间≤3秒。</w:t>
            </w:r>
          </w:p>
          <w:p w14:paraId="76F89FB1">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▲7.每次充电到除颤仪标识的最高能量时间≤4秒。</w:t>
            </w:r>
          </w:p>
          <w:p w14:paraId="744C7ACD">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8.手动除颤能量调节最小1J。</w:t>
            </w:r>
          </w:p>
          <w:p w14:paraId="2FA77A3F">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9.成人、儿童一体化除颤电极板，具备胸壁阻抗接触指示灯。</w:t>
            </w:r>
          </w:p>
          <w:p w14:paraId="47883E41">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10.除颤能量调节、充电、放电为实体按钮。</w:t>
            </w:r>
          </w:p>
          <w:p w14:paraId="57EFE38C">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▲11.标配手动除颤、AED和同步电复律功能。</w:t>
            </w:r>
          </w:p>
          <w:p w14:paraId="03BC875D">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12.主机≥3道波形显示。</w:t>
            </w:r>
          </w:p>
          <w:p w14:paraId="103AD543">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13.可进行持续心电监护，识别多种常见的心率/心律失常报警，包含但不局限于心率过快/过</w:t>
            </w:r>
          </w:p>
          <w:p w14:paraId="570CD3B2">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慢、停搏、室颤/室速、室性过速、极度过速、极度过缓、起搏无法捕获、起搏器未起搏。</w:t>
            </w:r>
          </w:p>
          <w:p w14:paraId="2CEB9CD8">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▲14.标配至少3导心电监护功能。</w:t>
            </w:r>
          </w:p>
          <w:p w14:paraId="64CFB5CA">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15.具备事件标记功能。</w:t>
            </w:r>
          </w:p>
          <w:p w14:paraId="0DE2A569">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16.具备生命体征趋势回顾功能。</w:t>
            </w:r>
          </w:p>
          <w:p w14:paraId="19F92D4A">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17.心率显示范围和精度：15次/分-300次/分。</w:t>
            </w:r>
          </w:p>
          <w:p w14:paraId="45E3758D">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18.心率报警设定范围：30次/分-200次/分。</w:t>
            </w:r>
          </w:p>
          <w:p w14:paraId="10249BFE">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19.心率报警延迟时间：≤10s。</w:t>
            </w:r>
          </w:p>
          <w:p w14:paraId="61603763">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20.血氧饱和度</w:t>
            </w:r>
          </w:p>
          <w:p w14:paraId="0A72CA9D">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20.1显示范围：0-100%。</w:t>
            </w:r>
          </w:p>
          <w:p w14:paraId="72CD5367">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20.2报警设置范围：低限：50%-99%；高限：51%-100%。</w:t>
            </w:r>
          </w:p>
          <w:p w14:paraId="4980E750">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20.3报警延时：10秒。</w:t>
            </w:r>
          </w:p>
          <w:p w14:paraId="0D7A24DC">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21无创血压</w:t>
            </w:r>
          </w:p>
          <w:p w14:paraId="4BB8AE03">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21.1测压范围：收缩压：40-260mmHg；舒张压：20-200mmHg，精度：±3mmHg。</w:t>
            </w:r>
          </w:p>
          <w:p w14:paraId="3D896943">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21.2自动模式重复时间：1、2.5、5、10、15、30、60或120分钟</w:t>
            </w:r>
          </w:p>
          <w:p w14:paraId="3BA483FE">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21.3测量时间：≤30秒。</w:t>
            </w:r>
          </w:p>
          <w:p w14:paraId="476629F8">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22.电池性能</w:t>
            </w:r>
          </w:p>
          <w:p w14:paraId="65C2D1B9">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22.1所有功能全开时电池使用时间≥2.5小时。</w:t>
            </w:r>
          </w:p>
          <w:p w14:paraId="1337D7A9">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22.2可重复充电锂电池，≥100次最高能量充电/电击。</w:t>
            </w:r>
          </w:p>
          <w:p w14:paraId="3258DF50">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22.3具有快速充电技术，≤2小时可充电到80%，≤3小时充电到100%</w:t>
            </w:r>
          </w:p>
          <w:p w14:paraId="7F4187AD">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23安全性能</w:t>
            </w:r>
          </w:p>
          <w:p w14:paraId="285479BA">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23.1具备自检功能。</w:t>
            </w:r>
          </w:p>
          <w:p w14:paraId="42B13EAD">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23.2在关机状态下，无需接上交流电源，可自动检测。</w:t>
            </w:r>
          </w:p>
          <w:p w14:paraId="28D8638A">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23.3具备自检待机状态灯指示功能。</w:t>
            </w:r>
          </w:p>
          <w:p w14:paraId="40B1FBA5">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▲24数据存储:事件总结、生命体征趋势、配置、状态记录和设备信息，至少有一种数据导</w:t>
            </w:r>
          </w:p>
          <w:p w14:paraId="335E5D0D">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出途径（WIFI/蓝牙/U盘）。</w:t>
            </w:r>
          </w:p>
          <w:p w14:paraId="49F18F85">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配置清单：</w:t>
            </w:r>
          </w:p>
          <w:p w14:paraId="0AB97DFF">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1.除颤监护仪主机1台</w:t>
            </w:r>
          </w:p>
          <w:p w14:paraId="68B800F3">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2.体外除颤电极板1副</w:t>
            </w:r>
          </w:p>
          <w:p w14:paraId="12D3826D">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3.3导心电导联线1套</w:t>
            </w:r>
          </w:p>
          <w:p w14:paraId="13D3FBC1">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4.血氧探头1个</w:t>
            </w:r>
          </w:p>
          <w:p w14:paraId="08494C6E">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5.血压送气管1个</w:t>
            </w:r>
          </w:p>
          <w:p w14:paraId="57FE3109">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6.血压袖带1个</w:t>
            </w:r>
          </w:p>
          <w:p w14:paraId="367B6B33">
            <w:pPr>
              <w:keepNext w:val="0"/>
              <w:keepLines w:val="0"/>
              <w:pageBreakBefore w:val="0"/>
              <w:widowControl/>
              <w:numPr>
                <w:ilvl w:val="0"/>
                <w:numId w:val="0"/>
              </w:numPr>
              <w:suppressLineNumbers w:val="0"/>
              <w:pBdr>
                <w:top w:val="single" w:color="DDDDDD" w:sz="6" w:space="0"/>
                <w:left w:val="none" w:color="auto" w:sz="0" w:space="0"/>
                <w:bottom w:val="single" w:color="DDDDDD" w:sz="6"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7.锂电池1块</w:t>
            </w:r>
          </w:p>
        </w:tc>
      </w:tr>
    </w:tbl>
    <w:p w14:paraId="765C01C6">
      <w:pPr>
        <w:keepNext/>
        <w:keepLines w:val="0"/>
        <w:pageBreakBefore w:val="0"/>
        <w:widowControl w:val="0"/>
        <w:kinsoku/>
        <w:wordWrap w:val="0"/>
        <w:overflowPunct/>
        <w:topLinePunct/>
        <w:autoSpaceDE/>
        <w:autoSpaceDN/>
        <w:bidi w:val="0"/>
        <w:adjustRightInd w:val="0"/>
        <w:snapToGrid w:val="0"/>
        <w:spacing w:before="120" w:beforeLines="50" w:line="360" w:lineRule="auto"/>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b/>
          <w:kern w:val="0"/>
          <w:sz w:val="28"/>
          <w:szCs w:val="28"/>
        </w:rPr>
        <w:t>三、商务要求</w:t>
      </w:r>
    </w:p>
    <w:tbl>
      <w:tblPr>
        <w:tblStyle w:val="12"/>
        <w:tblW w:w="543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6"/>
        <w:gridCol w:w="1167"/>
        <w:gridCol w:w="8282"/>
      </w:tblGrid>
      <w:tr w14:paraId="6A590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18F6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0" w:name="_Toc204778399"/>
            <w:r>
              <w:rPr>
                <w:rFonts w:hint="eastAsia" w:ascii="方正仿宋_GB2312" w:hAnsi="方正仿宋_GB2312" w:eastAsia="方正仿宋_GB2312" w:cs="方正仿宋_GB2312"/>
                <w:snapToGrid w:val="0"/>
                <w:color w:val="auto"/>
                <w:spacing w:val="6"/>
                <w:kern w:val="0"/>
                <w:sz w:val="28"/>
                <w:szCs w:val="28"/>
              </w:rPr>
              <w:t>1</w:t>
            </w:r>
            <w:bookmarkEnd w:id="0"/>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BB8ABA">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1" w:name="_Toc204778400"/>
            <w:r>
              <w:rPr>
                <w:rFonts w:hint="eastAsia" w:ascii="方正仿宋_GB2312" w:hAnsi="方正仿宋_GB2312" w:eastAsia="方正仿宋_GB2312" w:cs="方正仿宋_GB2312"/>
                <w:snapToGrid w:val="0"/>
                <w:color w:val="auto"/>
                <w:spacing w:val="6"/>
                <w:kern w:val="0"/>
                <w:sz w:val="28"/>
                <w:szCs w:val="28"/>
              </w:rPr>
              <w:t>投标报价要求</w:t>
            </w:r>
            <w:bookmarkEnd w:id="1"/>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3788CC26">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1、报价必须含以下部分，包括：</w:t>
            </w:r>
          </w:p>
          <w:p w14:paraId="7FD300C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（1）货物的价格；</w:t>
            </w:r>
          </w:p>
          <w:p w14:paraId="72223F63">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（2）必要的保险费用和各项税金；</w:t>
            </w:r>
          </w:p>
          <w:p w14:paraId="0DBA1DC8">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（3）其他</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包括货款、随配附件、备品备件、专用工具、包装、运输、装卸、保险、运抵指定交货地点、送货上门服务、现场安装调试、包装箱清理、保修等各种费用和售后服务、更新升级</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零配件更换</w:t>
            </w:r>
            <w:r>
              <w:rPr>
                <w:rFonts w:hint="eastAsia" w:ascii="方正仿宋_GB2312" w:hAnsi="方正仿宋_GB2312" w:eastAsia="方正仿宋_GB2312" w:cs="方正仿宋_GB2312"/>
                <w:color w:val="auto"/>
                <w:kern w:val="0"/>
                <w:sz w:val="28"/>
                <w:szCs w:val="28"/>
              </w:rPr>
              <w:t>、</w:t>
            </w:r>
            <w:r>
              <w:rPr>
                <w:rFonts w:hint="eastAsia" w:ascii="方正仿宋_GB2312" w:hAnsi="方正仿宋_GB2312" w:eastAsia="方正仿宋_GB2312" w:cs="方正仿宋_GB2312"/>
                <w:snapToGrid w:val="0"/>
                <w:color w:val="auto"/>
                <w:spacing w:val="5"/>
                <w:kern w:val="0"/>
                <w:sz w:val="28"/>
                <w:szCs w:val="28"/>
              </w:rPr>
              <w:t>培训、税金、本采购文件所列设备材料需进行补充完善才能完成本项目的功能配置或实际采购中产品材料有任何遗漏的费用（含本项目需要但本文件中未列出的设备材料、功能配置），以及合同明示或暗示的所有责任、义务和一般风险所有成本费用的总和。</w:t>
            </w:r>
          </w:p>
          <w:p w14:paraId="7D4D2CF8">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w:t>
            </w:r>
            <w:r>
              <w:rPr>
                <w:rFonts w:hint="eastAsia" w:ascii="方正仿宋_GB2312" w:hAnsi="方正仿宋_GB2312" w:eastAsia="方正仿宋_GB2312" w:cs="方正仿宋_GB2312"/>
                <w:snapToGrid w:val="0"/>
                <w:color w:val="auto"/>
                <w:spacing w:val="5"/>
                <w:kern w:val="0"/>
                <w:sz w:val="28"/>
                <w:szCs w:val="28"/>
                <w:lang w:val="en-US" w:eastAsia="zh-CN"/>
              </w:rPr>
              <w:t>4</w:t>
            </w:r>
            <w:r>
              <w:rPr>
                <w:rFonts w:hint="eastAsia" w:ascii="方正仿宋_GB2312" w:hAnsi="方正仿宋_GB2312" w:eastAsia="方正仿宋_GB2312" w:cs="方正仿宋_GB2312"/>
                <w:snapToGrid w:val="0"/>
                <w:color w:val="auto"/>
                <w:spacing w:val="5"/>
                <w:kern w:val="0"/>
                <w:sz w:val="28"/>
                <w:szCs w:val="28"/>
              </w:rPr>
              <w:t>）本项目为交钥匙工程：中标人负责全部产品的安装调试后直接交付运行。在</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内，中标人须保证采购人能够合法应用该器械/服务。在此过程中，采购人将提供一切必要支持。若可能出现的后续证件、手续，中标人必须提供办理的流程及方法。</w:t>
            </w:r>
          </w:p>
          <w:p w14:paraId="1CE8E1C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5</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b/>
                <w:bCs/>
                <w:snapToGrid w:val="0"/>
                <w:color w:val="auto"/>
                <w:spacing w:val="5"/>
                <w:kern w:val="0"/>
                <w:sz w:val="28"/>
                <w:szCs w:val="28"/>
                <w:lang w:val="en-US" w:eastAsia="zh-CN" w:bidi="ar-SA"/>
              </w:rPr>
              <w:t>报价包含终身软件升级更新迭代的费用。</w:t>
            </w:r>
          </w:p>
        </w:tc>
      </w:tr>
      <w:tr w14:paraId="75EB3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52A8C">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2" w:name="_Toc204778401"/>
            <w:r>
              <w:rPr>
                <w:rFonts w:hint="eastAsia" w:ascii="方正仿宋_GB2312" w:hAnsi="方正仿宋_GB2312" w:eastAsia="方正仿宋_GB2312" w:cs="方正仿宋_GB2312"/>
                <w:snapToGrid w:val="0"/>
                <w:color w:val="auto"/>
                <w:spacing w:val="6"/>
                <w:kern w:val="0"/>
                <w:sz w:val="28"/>
                <w:szCs w:val="28"/>
              </w:rPr>
              <w:t>2</w:t>
            </w:r>
            <w:bookmarkEnd w:id="2"/>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0F779">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合同签订时间</w:t>
            </w:r>
          </w:p>
        </w:tc>
        <w:tc>
          <w:tcPr>
            <w:tcW w:w="40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22A6D1">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rPr>
              <w:t>自中标通知书发出之日起25日内。</w:t>
            </w:r>
          </w:p>
        </w:tc>
      </w:tr>
      <w:tr w14:paraId="72CC4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03611F">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3" w:name="_Toc204778402"/>
            <w:r>
              <w:rPr>
                <w:rFonts w:hint="eastAsia" w:ascii="方正仿宋_GB2312" w:hAnsi="方正仿宋_GB2312" w:eastAsia="方正仿宋_GB2312" w:cs="方正仿宋_GB2312"/>
                <w:snapToGrid w:val="0"/>
                <w:color w:val="auto"/>
                <w:spacing w:val="6"/>
                <w:kern w:val="0"/>
                <w:sz w:val="28"/>
                <w:szCs w:val="28"/>
              </w:rPr>
              <w:t>3</w:t>
            </w:r>
            <w:bookmarkEnd w:id="3"/>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1843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4" w:name="_Toc204778403"/>
            <w:r>
              <w:rPr>
                <w:rFonts w:hint="eastAsia" w:ascii="方正仿宋_GB2312" w:hAnsi="方正仿宋_GB2312" w:eastAsia="方正仿宋_GB2312" w:cs="方正仿宋_GB2312"/>
                <w:snapToGrid w:val="0"/>
                <w:color w:val="auto"/>
                <w:spacing w:val="6"/>
                <w:sz w:val="28"/>
                <w:szCs w:val="28"/>
              </w:rPr>
              <w:t>交货时间及地点</w:t>
            </w:r>
            <w:bookmarkEnd w:id="4"/>
          </w:p>
        </w:tc>
        <w:tc>
          <w:tcPr>
            <w:tcW w:w="40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D9C714">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both"/>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1.交货期：合同签订</w:t>
            </w:r>
            <w:r>
              <w:rPr>
                <w:rFonts w:hint="eastAsia" w:ascii="方正仿宋_GB2312" w:hAnsi="方正仿宋_GB2312" w:eastAsia="方正仿宋_GB2312" w:cs="方正仿宋_GB2312"/>
                <w:snapToGrid w:val="0"/>
                <w:color w:val="auto"/>
                <w:spacing w:val="5"/>
                <w:kern w:val="0"/>
                <w:sz w:val="28"/>
                <w:szCs w:val="28"/>
                <w:lang w:val="en-US" w:eastAsia="zh-CN"/>
              </w:rPr>
              <w:t>之日起</w:t>
            </w:r>
            <w:r>
              <w:rPr>
                <w:rFonts w:hint="eastAsia" w:ascii="方正仿宋_GB2312" w:hAnsi="方正仿宋_GB2312" w:eastAsia="方正仿宋_GB2312" w:cs="方正仿宋_GB2312"/>
                <w:snapToGrid w:val="0"/>
                <w:color w:val="auto"/>
                <w:spacing w:val="5"/>
                <w:kern w:val="0"/>
                <w:sz w:val="28"/>
                <w:szCs w:val="28"/>
              </w:rPr>
              <w:t>30天</w:t>
            </w:r>
            <w:r>
              <w:rPr>
                <w:rFonts w:hint="eastAsia" w:ascii="方正仿宋_GB2312" w:hAnsi="方正仿宋_GB2312" w:eastAsia="方正仿宋_GB2312" w:cs="方正仿宋_GB2312"/>
                <w:snapToGrid w:val="0"/>
                <w:color w:val="auto"/>
                <w:spacing w:val="5"/>
                <w:kern w:val="0"/>
                <w:sz w:val="28"/>
                <w:szCs w:val="28"/>
                <w:lang w:val="en-US" w:eastAsia="zh-CN"/>
              </w:rPr>
              <w:t>（进口产品90天）</w:t>
            </w:r>
            <w:r>
              <w:rPr>
                <w:rFonts w:hint="eastAsia" w:ascii="方正仿宋_GB2312" w:hAnsi="方正仿宋_GB2312" w:eastAsia="方正仿宋_GB2312" w:cs="方正仿宋_GB2312"/>
                <w:snapToGrid w:val="0"/>
                <w:color w:val="auto"/>
                <w:spacing w:val="5"/>
                <w:kern w:val="0"/>
                <w:sz w:val="28"/>
                <w:szCs w:val="28"/>
              </w:rPr>
              <w:t>内完成交货安装调试并正常运行。</w:t>
            </w:r>
          </w:p>
          <w:p w14:paraId="53BC235A">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both"/>
              <w:textAlignment w:val="baseline"/>
              <w:rPr>
                <w:rFonts w:hint="eastAsia" w:ascii="方正仿宋_GB2312" w:hAnsi="方正仿宋_GB2312" w:eastAsia="方正仿宋_GB2312" w:cs="方正仿宋_GB2312"/>
                <w:snapToGrid w:val="0"/>
                <w:color w:val="auto"/>
                <w:spacing w:val="4"/>
                <w:kern w:val="0"/>
                <w:sz w:val="28"/>
                <w:szCs w:val="28"/>
              </w:rPr>
            </w:pPr>
            <w:r>
              <w:rPr>
                <w:rFonts w:hint="eastAsia" w:ascii="方正仿宋_GB2312" w:hAnsi="方正仿宋_GB2312" w:eastAsia="方正仿宋_GB2312" w:cs="方正仿宋_GB2312"/>
                <w:snapToGrid w:val="0"/>
                <w:color w:val="auto"/>
                <w:spacing w:val="5"/>
                <w:kern w:val="0"/>
                <w:sz w:val="28"/>
                <w:szCs w:val="28"/>
              </w:rPr>
              <w:t>2.地点：广西壮族自治区江滨医院内采购人指定地点。</w:t>
            </w:r>
          </w:p>
        </w:tc>
      </w:tr>
      <w:tr w14:paraId="3DCEB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BF1859">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4</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2E96F">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lang w:eastAsia="zh-CN"/>
              </w:rPr>
            </w:pPr>
            <w:r>
              <w:rPr>
                <w:rFonts w:hint="eastAsia" w:ascii="方正仿宋_GB2312" w:hAnsi="方正仿宋_GB2312" w:eastAsia="方正仿宋_GB2312" w:cs="方正仿宋_GB2312"/>
                <w:snapToGrid w:val="0"/>
                <w:color w:val="auto"/>
                <w:spacing w:val="6"/>
                <w:sz w:val="28"/>
                <w:szCs w:val="28"/>
                <w:lang w:eastAsia="zh-CN"/>
              </w:rPr>
              <w:t>质保期</w:t>
            </w:r>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4BE41969">
            <w:pPr>
              <w:pStyle w:val="11"/>
              <w:keepNext w:val="0"/>
              <w:keepLines w:val="0"/>
              <w:pageBreakBefore w:val="0"/>
              <w:widowControl/>
              <w:numPr>
                <w:ilvl w:val="0"/>
                <w:numId w:val="0"/>
              </w:numPr>
              <w:kinsoku/>
              <w:wordWrap/>
              <w:overflowPunct/>
              <w:topLinePunct w:val="0"/>
              <w:autoSpaceDE/>
              <w:autoSpaceDN/>
              <w:bidi w:val="0"/>
              <w:adjustRightInd w:val="0"/>
              <w:snapToGrid w:val="0"/>
              <w:spacing w:before="176" w:line="360" w:lineRule="exact"/>
              <w:ind w:left="63" w:leftChars="30" w:firstLine="290" w:firstLineChars="100"/>
              <w:textAlignment w:val="baseline"/>
              <w:outlineLvl w:val="0"/>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1.</w:t>
            </w:r>
            <w:r>
              <w:rPr>
                <w:rFonts w:hint="eastAsia" w:ascii="方正仿宋_GB2312" w:hAnsi="方正仿宋_GB2312" w:eastAsia="方正仿宋_GB2312" w:cs="方正仿宋_GB2312"/>
                <w:snapToGrid w:val="0"/>
                <w:color w:val="auto"/>
                <w:spacing w:val="5"/>
                <w:kern w:val="0"/>
                <w:sz w:val="28"/>
                <w:szCs w:val="28"/>
                <w:lang w:val="en-US" w:eastAsia="en-US" w:bidi="ar-SA"/>
              </w:rPr>
              <w:t>投标人应明确承诺：按国家有关产品“三包”规定执行“三包”，货物验收合格后，自安装验收合格之日起</w:t>
            </w:r>
            <w:r>
              <w:rPr>
                <w:rFonts w:hint="eastAsia" w:ascii="方正仿宋_GB2312" w:hAnsi="方正仿宋_GB2312" w:eastAsia="方正仿宋_GB2312" w:cs="方正仿宋_GB2312"/>
                <w:snapToGrid w:val="0"/>
                <w:color w:val="auto"/>
                <w:spacing w:val="5"/>
                <w:kern w:val="0"/>
                <w:sz w:val="28"/>
                <w:szCs w:val="28"/>
                <w:lang w:val="en-US" w:eastAsia="zh-CN" w:bidi="ar-SA"/>
              </w:rPr>
              <w:t>：</w:t>
            </w:r>
            <w:r>
              <w:rPr>
                <w:rFonts w:hint="eastAsia" w:ascii="方正仿宋_GB2312" w:hAnsi="方正仿宋_GB2312" w:eastAsia="方正仿宋_GB2312" w:cs="方正仿宋_GB2312"/>
                <w:b/>
                <w:bCs/>
                <w:snapToGrid w:val="0"/>
                <w:color w:val="auto"/>
                <w:spacing w:val="5"/>
                <w:kern w:val="0"/>
                <w:sz w:val="28"/>
                <w:szCs w:val="28"/>
                <w:lang w:val="en-US" w:eastAsia="zh-CN" w:bidi="ar-SA"/>
              </w:rPr>
              <w:t>整套设备质保期</w:t>
            </w:r>
            <w:r>
              <w:rPr>
                <w:rFonts w:hint="eastAsia" w:ascii="方正仿宋_GB2312" w:hAnsi="方正仿宋_GB2312" w:eastAsia="方正仿宋_GB2312" w:cs="方正仿宋_GB2312"/>
                <w:b/>
                <w:bCs/>
                <w:snapToGrid w:val="0"/>
                <w:color w:val="auto"/>
                <w:spacing w:val="5"/>
                <w:kern w:val="0"/>
                <w:sz w:val="28"/>
                <w:szCs w:val="28"/>
                <w:lang w:val="en-US" w:eastAsia="en-US" w:bidi="ar-SA"/>
              </w:rPr>
              <w:t>≥</w:t>
            </w:r>
            <w:r>
              <w:rPr>
                <w:rFonts w:hint="eastAsia" w:ascii="方正仿宋_GB2312" w:hAnsi="方正仿宋_GB2312" w:eastAsia="方正仿宋_GB2312" w:cs="方正仿宋_GB2312"/>
                <w:b/>
                <w:bCs/>
                <w:snapToGrid w:val="0"/>
                <w:color w:val="auto"/>
                <w:spacing w:val="5"/>
                <w:kern w:val="0"/>
                <w:sz w:val="28"/>
                <w:szCs w:val="28"/>
                <w:lang w:val="en-US" w:eastAsia="zh-CN" w:bidi="ar-SA"/>
              </w:rPr>
              <w:t>3</w:t>
            </w:r>
            <w:r>
              <w:rPr>
                <w:rFonts w:hint="eastAsia" w:ascii="方正仿宋_GB2312" w:hAnsi="方正仿宋_GB2312" w:eastAsia="方正仿宋_GB2312" w:cs="方正仿宋_GB2312"/>
                <w:b/>
                <w:bCs/>
                <w:snapToGrid w:val="0"/>
                <w:color w:val="auto"/>
                <w:spacing w:val="5"/>
                <w:kern w:val="0"/>
                <w:sz w:val="28"/>
                <w:szCs w:val="28"/>
                <w:lang w:val="en-US" w:eastAsia="en-US" w:bidi="ar-SA"/>
              </w:rPr>
              <w:t>年</w:t>
            </w:r>
            <w:r>
              <w:rPr>
                <w:rFonts w:hint="eastAsia" w:ascii="方正仿宋_GB2312" w:hAnsi="方正仿宋_GB2312" w:eastAsia="方正仿宋_GB2312" w:cs="方正仿宋_GB2312"/>
                <w:b/>
                <w:bCs/>
                <w:snapToGrid w:val="0"/>
                <w:color w:val="auto"/>
                <w:spacing w:val="5"/>
                <w:kern w:val="0"/>
                <w:sz w:val="28"/>
                <w:szCs w:val="28"/>
                <w:lang w:val="en-US" w:eastAsia="zh-CN" w:bidi="ar-SA"/>
              </w:rPr>
              <w:t>。</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内非人为损坏</w:t>
            </w:r>
            <w:r>
              <w:rPr>
                <w:rFonts w:hint="eastAsia" w:ascii="方正仿宋_GB2312" w:hAnsi="方正仿宋_GB2312" w:eastAsia="方正仿宋_GB2312" w:cs="方正仿宋_GB2312"/>
                <w:snapToGrid w:val="0"/>
                <w:color w:val="auto"/>
                <w:spacing w:val="5"/>
                <w:kern w:val="0"/>
                <w:sz w:val="28"/>
                <w:szCs w:val="28"/>
                <w:lang w:val="en-US" w:eastAsia="zh-CN" w:bidi="ar-SA"/>
              </w:rPr>
              <w:t>负责</w:t>
            </w:r>
            <w:r>
              <w:rPr>
                <w:rFonts w:hint="eastAsia" w:ascii="方正仿宋_GB2312" w:hAnsi="方正仿宋_GB2312" w:eastAsia="方正仿宋_GB2312" w:cs="方正仿宋_GB2312"/>
                <w:snapToGrid w:val="0"/>
                <w:color w:val="auto"/>
                <w:spacing w:val="5"/>
                <w:kern w:val="0"/>
                <w:sz w:val="28"/>
                <w:szCs w:val="28"/>
                <w:lang w:val="en-US" w:eastAsia="en-US" w:bidi="ar-SA"/>
              </w:rPr>
              <w:t>更换所有故障零配件，并</w:t>
            </w:r>
            <w:r>
              <w:rPr>
                <w:rFonts w:hint="eastAsia" w:ascii="方正仿宋_GB2312" w:hAnsi="方正仿宋_GB2312" w:eastAsia="方正仿宋_GB2312" w:cs="方正仿宋_GB2312"/>
                <w:snapToGrid w:val="0"/>
                <w:color w:val="auto"/>
                <w:spacing w:val="5"/>
                <w:kern w:val="0"/>
                <w:sz w:val="28"/>
                <w:szCs w:val="28"/>
                <w:lang w:val="en-US" w:eastAsia="zh-CN" w:bidi="ar-SA"/>
              </w:rPr>
              <w:t>负责</w:t>
            </w:r>
            <w:r>
              <w:rPr>
                <w:rFonts w:hint="eastAsia" w:ascii="方正仿宋_GB2312" w:hAnsi="方正仿宋_GB2312" w:eastAsia="方正仿宋_GB2312" w:cs="方正仿宋_GB2312"/>
                <w:snapToGrid w:val="0"/>
                <w:color w:val="auto"/>
                <w:spacing w:val="5"/>
                <w:kern w:val="0"/>
                <w:sz w:val="28"/>
                <w:szCs w:val="28"/>
                <w:lang w:val="en-US" w:eastAsia="en-US" w:bidi="ar-SA"/>
              </w:rPr>
              <w:t>提供设备的系统软件及硬件的安全性改版升级和技术支持，确保设备正常运行，</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满后，终身维护。</w:t>
            </w:r>
          </w:p>
          <w:p w14:paraId="6BF3D693">
            <w:pPr>
              <w:pStyle w:val="11"/>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63" w:leftChars="30" w:firstLine="290" w:firstLineChars="100"/>
              <w:textAlignment w:val="baseline"/>
              <w:outlineLvl w:val="0"/>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2.质保期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满后，按照</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内售后服务内容及标准继续提供</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服务，直至采购人确认更换</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单位或设备报废。不能因</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满而出现缓修、拒修等情况，维修所产生费用由</w:t>
            </w:r>
            <w:r>
              <w:rPr>
                <w:rFonts w:hint="eastAsia" w:ascii="方正仿宋_GB2312" w:hAnsi="方正仿宋_GB2312" w:eastAsia="方正仿宋_GB2312" w:cs="方正仿宋_GB2312"/>
                <w:snapToGrid w:val="0"/>
                <w:color w:val="auto"/>
                <w:spacing w:val="5"/>
                <w:kern w:val="0"/>
                <w:sz w:val="28"/>
                <w:szCs w:val="28"/>
                <w:lang w:val="en-US" w:eastAsia="zh-CN" w:bidi="ar-SA"/>
              </w:rPr>
              <w:t>中标人</w:t>
            </w:r>
            <w:r>
              <w:rPr>
                <w:rFonts w:hint="eastAsia" w:ascii="方正仿宋_GB2312" w:hAnsi="方正仿宋_GB2312" w:eastAsia="方正仿宋_GB2312" w:cs="方正仿宋_GB2312"/>
                <w:snapToGrid w:val="0"/>
                <w:color w:val="auto"/>
                <w:spacing w:val="5"/>
                <w:kern w:val="0"/>
                <w:sz w:val="28"/>
                <w:szCs w:val="28"/>
                <w:lang w:val="en-US" w:eastAsia="en-US" w:bidi="ar-SA"/>
              </w:rPr>
              <w:t>和采购人另行结算。</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金额每年不得超过合同额的10%，</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成本超过该数额的一概由</w:t>
            </w:r>
            <w:r>
              <w:rPr>
                <w:rFonts w:hint="eastAsia" w:ascii="方正仿宋_GB2312" w:hAnsi="方正仿宋_GB2312" w:eastAsia="方正仿宋_GB2312" w:cs="方正仿宋_GB2312"/>
                <w:snapToGrid w:val="0"/>
                <w:color w:val="auto"/>
                <w:spacing w:val="5"/>
                <w:kern w:val="0"/>
                <w:sz w:val="28"/>
                <w:szCs w:val="28"/>
                <w:lang w:val="en-US" w:eastAsia="zh-CN" w:bidi="ar-SA"/>
              </w:rPr>
              <w:t>中标人</w:t>
            </w:r>
            <w:r>
              <w:rPr>
                <w:rFonts w:hint="eastAsia" w:ascii="方正仿宋_GB2312" w:hAnsi="方正仿宋_GB2312" w:eastAsia="方正仿宋_GB2312" w:cs="方正仿宋_GB2312"/>
                <w:snapToGrid w:val="0"/>
                <w:color w:val="auto"/>
                <w:spacing w:val="5"/>
                <w:kern w:val="0"/>
                <w:sz w:val="28"/>
                <w:szCs w:val="28"/>
                <w:lang w:val="en-US" w:eastAsia="en-US" w:bidi="ar-SA"/>
              </w:rPr>
              <w:t>自行承担，项目</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满后</w:t>
            </w:r>
            <w:r>
              <w:rPr>
                <w:rFonts w:hint="eastAsia" w:ascii="方正仿宋_GB2312" w:hAnsi="方正仿宋_GB2312" w:eastAsia="方正仿宋_GB2312" w:cs="方正仿宋_GB2312"/>
                <w:snapToGrid w:val="0"/>
                <w:color w:val="auto"/>
                <w:spacing w:val="5"/>
                <w:kern w:val="0"/>
                <w:sz w:val="28"/>
                <w:szCs w:val="28"/>
                <w:lang w:val="en-US" w:eastAsia="zh-CN" w:bidi="ar-SA"/>
              </w:rPr>
              <w:t>可</w:t>
            </w:r>
            <w:r>
              <w:rPr>
                <w:rFonts w:hint="eastAsia" w:ascii="方正仿宋_GB2312" w:hAnsi="方正仿宋_GB2312" w:eastAsia="方正仿宋_GB2312" w:cs="方正仿宋_GB2312"/>
                <w:snapToGrid w:val="0"/>
                <w:color w:val="auto"/>
                <w:spacing w:val="5"/>
                <w:kern w:val="0"/>
                <w:sz w:val="28"/>
                <w:szCs w:val="28"/>
                <w:lang w:val="en-US" w:eastAsia="en-US" w:bidi="ar-SA"/>
              </w:rPr>
              <w:t>签订维护和售后服务合同，具体事项以实际谈判为准。设备若因故障导致</w:t>
            </w:r>
            <w:r>
              <w:rPr>
                <w:rFonts w:hint="eastAsia" w:ascii="方正仿宋_GB2312" w:hAnsi="方正仿宋_GB2312" w:eastAsia="方正仿宋_GB2312" w:cs="方正仿宋_GB2312"/>
                <w:snapToGrid w:val="0"/>
                <w:color w:val="auto"/>
                <w:spacing w:val="5"/>
                <w:kern w:val="0"/>
                <w:sz w:val="28"/>
                <w:szCs w:val="28"/>
                <w:lang w:val="en-US" w:eastAsia="zh-CN" w:bidi="ar-SA"/>
              </w:rPr>
              <w:t>5个工作日</w:t>
            </w:r>
            <w:r>
              <w:rPr>
                <w:rFonts w:hint="eastAsia" w:ascii="方正仿宋_GB2312" w:hAnsi="方正仿宋_GB2312" w:eastAsia="方正仿宋_GB2312" w:cs="方正仿宋_GB2312"/>
                <w:snapToGrid w:val="0"/>
                <w:color w:val="auto"/>
                <w:spacing w:val="5"/>
                <w:kern w:val="0"/>
                <w:sz w:val="28"/>
                <w:szCs w:val="28"/>
                <w:lang w:val="en-US" w:eastAsia="en-US" w:bidi="ar-SA"/>
              </w:rPr>
              <w:t>无法正常使用，或临床所需等其他因素，须提供备用机维持医院正常诊疗活动。</w:t>
            </w:r>
          </w:p>
          <w:p w14:paraId="11EEC3C4">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b/>
                <w:bCs/>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rPr>
              <w:t>.要求投标货物是全新的、未经改装的、合格的、满足本项目技术需求及要求的货物</w:t>
            </w:r>
            <w:r>
              <w:rPr>
                <w:rFonts w:hint="eastAsia" w:ascii="方正仿宋_GB2312" w:hAnsi="方正仿宋_GB2312" w:eastAsia="方正仿宋_GB2312" w:cs="方正仿宋_GB2312"/>
                <w:b/>
                <w:bCs/>
                <w:snapToGrid w:val="0"/>
                <w:color w:val="auto"/>
                <w:spacing w:val="5"/>
                <w:kern w:val="0"/>
                <w:sz w:val="28"/>
                <w:szCs w:val="28"/>
              </w:rPr>
              <w:t>。</w:t>
            </w:r>
            <w:r>
              <w:rPr>
                <w:rFonts w:hint="eastAsia" w:ascii="方正仿宋_GB2312" w:hAnsi="方正仿宋_GB2312" w:eastAsia="方正仿宋_GB2312" w:cs="方正仿宋_GB2312"/>
                <w:b w:val="0"/>
                <w:bCs w:val="0"/>
                <w:snapToGrid w:val="0"/>
                <w:color w:val="auto"/>
                <w:spacing w:val="5"/>
                <w:kern w:val="0"/>
                <w:sz w:val="28"/>
                <w:szCs w:val="28"/>
              </w:rPr>
              <w:t>所有零部件、配件必须是未经使用的全新的并符合国家有关质量安全标准的产品。</w:t>
            </w:r>
          </w:p>
          <w:p w14:paraId="6E30F8D6">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b w:val="0"/>
                <w:bCs w:val="0"/>
                <w:snapToGrid w:val="0"/>
                <w:color w:val="auto"/>
                <w:spacing w:val="5"/>
                <w:kern w:val="0"/>
                <w:sz w:val="28"/>
                <w:szCs w:val="28"/>
                <w:lang w:val="en-US" w:eastAsia="zh-CN"/>
              </w:rPr>
              <w:t>4</w:t>
            </w:r>
            <w:r>
              <w:rPr>
                <w:rFonts w:hint="eastAsia" w:ascii="方正仿宋_GB2312" w:hAnsi="方正仿宋_GB2312" w:eastAsia="方正仿宋_GB2312" w:cs="方正仿宋_GB2312"/>
                <w:b w:val="0"/>
                <w:bCs w:val="0"/>
                <w:snapToGrid w:val="0"/>
                <w:color w:val="auto"/>
                <w:spacing w:val="5"/>
                <w:kern w:val="0"/>
                <w:sz w:val="28"/>
                <w:szCs w:val="28"/>
              </w:rPr>
              <w:t>.</w:t>
            </w:r>
            <w:r>
              <w:rPr>
                <w:rFonts w:hint="eastAsia" w:ascii="方正仿宋_GB2312" w:hAnsi="方正仿宋_GB2312" w:eastAsia="方正仿宋_GB2312" w:cs="方正仿宋_GB2312"/>
                <w:b w:val="0"/>
                <w:bCs w:val="0"/>
                <w:snapToGrid w:val="0"/>
                <w:color w:val="auto"/>
                <w:spacing w:val="5"/>
                <w:kern w:val="0"/>
                <w:sz w:val="28"/>
                <w:szCs w:val="28"/>
                <w:lang w:eastAsia="zh-CN"/>
              </w:rPr>
              <w:t>质保期</w:t>
            </w:r>
            <w:r>
              <w:rPr>
                <w:rFonts w:hint="eastAsia" w:ascii="方正仿宋_GB2312" w:hAnsi="方正仿宋_GB2312" w:eastAsia="方正仿宋_GB2312" w:cs="方正仿宋_GB2312"/>
                <w:b w:val="0"/>
                <w:bCs w:val="0"/>
                <w:snapToGrid w:val="0"/>
                <w:color w:val="auto"/>
                <w:spacing w:val="5"/>
                <w:kern w:val="0"/>
                <w:sz w:val="28"/>
                <w:szCs w:val="28"/>
              </w:rPr>
              <w:t>所更换的零配件必须是原</w:t>
            </w:r>
            <w:r>
              <w:rPr>
                <w:rFonts w:hint="eastAsia" w:ascii="方正仿宋_GB2312" w:hAnsi="方正仿宋_GB2312" w:eastAsia="方正仿宋_GB2312" w:cs="方正仿宋_GB2312"/>
                <w:snapToGrid w:val="0"/>
                <w:color w:val="auto"/>
                <w:spacing w:val="5"/>
                <w:kern w:val="0"/>
                <w:sz w:val="28"/>
                <w:szCs w:val="28"/>
              </w:rPr>
              <w:t>厂全新的零配件，满足设备运行要求。</w:t>
            </w:r>
          </w:p>
          <w:p w14:paraId="21CE06EC">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5</w:t>
            </w:r>
            <w:r>
              <w:rPr>
                <w:rFonts w:hint="eastAsia" w:ascii="方正仿宋_GB2312" w:hAnsi="方正仿宋_GB2312" w:eastAsia="方正仿宋_GB2312" w:cs="方正仿宋_GB2312"/>
                <w:snapToGrid w:val="0"/>
                <w:color w:val="auto"/>
                <w:spacing w:val="5"/>
                <w:kern w:val="0"/>
                <w:sz w:val="28"/>
                <w:szCs w:val="28"/>
              </w:rPr>
              <w:t>.</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承诺优于国家“三包”规定的，或优于招标文件规定的，按投标人实际承诺执行。</w:t>
            </w:r>
          </w:p>
          <w:p w14:paraId="4BAE1D0F">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6.</w:t>
            </w:r>
            <w:r>
              <w:rPr>
                <w:rFonts w:hint="eastAsia" w:ascii="方正仿宋_GB2312" w:hAnsi="方正仿宋_GB2312" w:eastAsia="方正仿宋_GB2312" w:cs="方正仿宋_GB2312"/>
                <w:snapToGrid w:val="0"/>
                <w:color w:val="auto"/>
                <w:spacing w:val="5"/>
                <w:kern w:val="0"/>
                <w:sz w:val="28"/>
                <w:szCs w:val="28"/>
              </w:rPr>
              <w:t>若在使用的前3个月内，出现非人为操作失误的重大故障，</w:t>
            </w:r>
            <w:r>
              <w:rPr>
                <w:rFonts w:hint="eastAsia" w:ascii="方正仿宋_GB2312" w:hAnsi="方正仿宋_GB2312" w:eastAsia="方正仿宋_GB2312" w:cs="方正仿宋_GB2312"/>
                <w:snapToGrid w:val="0"/>
                <w:color w:val="auto"/>
                <w:spacing w:val="5"/>
                <w:kern w:val="0"/>
                <w:sz w:val="28"/>
                <w:szCs w:val="28"/>
                <w:lang w:val="en-US" w:eastAsia="zh-CN"/>
              </w:rPr>
              <w:t>中标人</w:t>
            </w:r>
            <w:r>
              <w:rPr>
                <w:rFonts w:hint="eastAsia" w:ascii="方正仿宋_GB2312" w:hAnsi="方正仿宋_GB2312" w:eastAsia="方正仿宋_GB2312" w:cs="方正仿宋_GB2312"/>
                <w:snapToGrid w:val="0"/>
                <w:color w:val="auto"/>
                <w:spacing w:val="5"/>
                <w:kern w:val="0"/>
                <w:sz w:val="28"/>
                <w:szCs w:val="28"/>
              </w:rPr>
              <w:t>应予以</w:t>
            </w:r>
            <w:r>
              <w:rPr>
                <w:rFonts w:hint="eastAsia" w:ascii="方正仿宋_GB2312" w:hAnsi="方正仿宋_GB2312" w:eastAsia="方正仿宋_GB2312" w:cs="方正仿宋_GB2312"/>
                <w:snapToGrid w:val="0"/>
                <w:color w:val="auto"/>
                <w:spacing w:val="5"/>
                <w:kern w:val="0"/>
                <w:sz w:val="28"/>
                <w:szCs w:val="28"/>
                <w:lang w:val="en-US" w:eastAsia="zh-CN"/>
              </w:rPr>
              <w:t>负责</w:t>
            </w:r>
            <w:r>
              <w:rPr>
                <w:rFonts w:hint="eastAsia" w:ascii="方正仿宋_GB2312" w:hAnsi="方正仿宋_GB2312" w:eastAsia="方正仿宋_GB2312" w:cs="方正仿宋_GB2312"/>
                <w:snapToGrid w:val="0"/>
                <w:color w:val="auto"/>
                <w:spacing w:val="5"/>
                <w:kern w:val="0"/>
                <w:sz w:val="28"/>
                <w:szCs w:val="28"/>
              </w:rPr>
              <w:t>换货。</w:t>
            </w:r>
          </w:p>
        </w:tc>
      </w:tr>
      <w:tr w14:paraId="44D86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B9BD6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5" w:name="_Toc204778404"/>
          </w:p>
          <w:p w14:paraId="079C4DB8">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182829C6">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16237F22">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5</w:t>
            </w:r>
            <w:bookmarkEnd w:id="5"/>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148D70">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6" w:name="_Toc204778405"/>
          </w:p>
          <w:p w14:paraId="355FF372">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3010E061">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198CC69B">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售后服务要求</w:t>
            </w:r>
            <w:bookmarkEnd w:id="6"/>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15815E98">
            <w:pPr>
              <w:keepLines w:val="0"/>
              <w:pageBreakBefore w:val="0"/>
              <w:overflowPunct/>
              <w:bidi w:val="0"/>
              <w:snapToGrid w:val="0"/>
              <w:spacing w:line="360" w:lineRule="exact"/>
              <w:ind w:firstLine="290" w:firstLineChars="100"/>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snapToGrid w:val="0"/>
                <w:color w:val="auto"/>
                <w:spacing w:val="5"/>
                <w:kern w:val="0"/>
                <w:sz w:val="28"/>
                <w:szCs w:val="28"/>
              </w:rPr>
              <w:t>1.提供维护手册、维修手册、软件备份、故障代码表、备件清单。</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外，无偿提供维修密码及所附软件在该项目的永久使用权。提供相关设备的维修工程师姓名及电话号码，人员更换需要及时通知采购人。如国内有400、800等电话维修系统的提供电话号码。</w:t>
            </w:r>
            <w:r>
              <w:rPr>
                <w:rFonts w:hint="eastAsia" w:ascii="方正仿宋_GB2312" w:hAnsi="方正仿宋_GB2312" w:eastAsia="方正仿宋_GB2312" w:cs="方正仿宋_GB2312"/>
                <w:snapToGrid w:val="0"/>
                <w:color w:val="auto"/>
                <w:spacing w:val="5"/>
                <w:kern w:val="0"/>
                <w:sz w:val="28"/>
                <w:szCs w:val="28"/>
                <w:lang w:eastAsia="zh-CN"/>
              </w:rPr>
              <w:t>具体的</w:t>
            </w:r>
            <w:r>
              <w:rPr>
                <w:rFonts w:hint="eastAsia" w:ascii="方正仿宋_GB2312" w:hAnsi="方正仿宋_GB2312" w:eastAsia="方正仿宋_GB2312" w:cs="方正仿宋_GB2312"/>
                <w:color w:val="auto"/>
                <w:sz w:val="28"/>
                <w:szCs w:val="28"/>
              </w:rPr>
              <w:t>维保技术人员配置与稳定性要求</w:t>
            </w:r>
            <w:r>
              <w:rPr>
                <w:rFonts w:hint="eastAsia" w:ascii="方正仿宋_GB2312" w:hAnsi="方正仿宋_GB2312" w:eastAsia="方正仿宋_GB2312" w:cs="方正仿宋_GB2312"/>
                <w:color w:val="auto"/>
                <w:sz w:val="28"/>
                <w:szCs w:val="28"/>
                <w:lang w:eastAsia="zh-CN"/>
              </w:rPr>
              <w:t>如下</w:t>
            </w:r>
          </w:p>
          <w:p w14:paraId="484F91C2">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1</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 xml:space="preserve">团队配置： </w:t>
            </w:r>
            <w:r>
              <w:rPr>
                <w:rFonts w:hint="eastAsia" w:ascii="方正仿宋_GB2312" w:hAnsi="方正仿宋_GB2312" w:eastAsia="方正仿宋_GB2312" w:cs="方正仿宋_GB2312"/>
                <w:snapToGrid w:val="0"/>
                <w:color w:val="auto"/>
                <w:spacing w:val="5"/>
                <w:kern w:val="0"/>
                <w:sz w:val="28"/>
                <w:szCs w:val="28"/>
                <w:lang w:eastAsia="zh-CN"/>
              </w:rPr>
              <w:t>投标人</w:t>
            </w:r>
            <w:r>
              <w:rPr>
                <w:rFonts w:hint="eastAsia" w:ascii="方正仿宋_GB2312" w:hAnsi="方正仿宋_GB2312" w:eastAsia="方正仿宋_GB2312" w:cs="方正仿宋_GB2312"/>
                <w:snapToGrid w:val="0"/>
                <w:color w:val="auto"/>
                <w:spacing w:val="5"/>
                <w:kern w:val="0"/>
                <w:sz w:val="28"/>
                <w:szCs w:val="28"/>
              </w:rPr>
              <w:t>须组建专属维保服务团队，明确项目</w:t>
            </w:r>
            <w:r>
              <w:rPr>
                <w:rFonts w:hint="eastAsia" w:ascii="方正仿宋_GB2312" w:hAnsi="方正仿宋_GB2312" w:eastAsia="方正仿宋_GB2312" w:cs="方正仿宋_GB2312"/>
                <w:snapToGrid w:val="0"/>
                <w:color w:val="auto"/>
                <w:spacing w:val="5"/>
                <w:kern w:val="0"/>
                <w:sz w:val="28"/>
                <w:szCs w:val="28"/>
                <w:lang w:eastAsia="zh-CN"/>
              </w:rPr>
              <w:t>维保</w:t>
            </w:r>
            <w:r>
              <w:rPr>
                <w:rFonts w:hint="eastAsia" w:ascii="方正仿宋_GB2312" w:hAnsi="方正仿宋_GB2312" w:eastAsia="方正仿宋_GB2312" w:cs="方正仿宋_GB2312"/>
                <w:snapToGrid w:val="0"/>
                <w:color w:val="auto"/>
                <w:spacing w:val="5"/>
                <w:kern w:val="0"/>
                <w:sz w:val="28"/>
                <w:szCs w:val="28"/>
              </w:rPr>
              <w:t>负责人及技术人员名单。须提供团队成员的学历证明、职业资格证书及近</w:t>
            </w:r>
            <w:r>
              <w:rPr>
                <w:rFonts w:hint="eastAsia" w:ascii="方正仿宋_GB2312" w:hAnsi="方正仿宋_GB2312" w:eastAsia="方正仿宋_GB2312" w:cs="方正仿宋_GB2312"/>
                <w:snapToGrid w:val="0"/>
                <w:color w:val="auto"/>
                <w:spacing w:val="5"/>
                <w:kern w:val="0"/>
                <w:sz w:val="28"/>
                <w:szCs w:val="28"/>
                <w:lang w:eastAsia="zh-CN"/>
              </w:rPr>
              <w:t>三个月</w:t>
            </w:r>
            <w:r>
              <w:rPr>
                <w:rFonts w:hint="eastAsia" w:ascii="方正仿宋_GB2312" w:hAnsi="方正仿宋_GB2312" w:eastAsia="方正仿宋_GB2312" w:cs="方正仿宋_GB2312"/>
                <w:snapToGrid w:val="0"/>
                <w:color w:val="auto"/>
                <w:spacing w:val="5"/>
                <w:kern w:val="0"/>
                <w:sz w:val="28"/>
                <w:szCs w:val="28"/>
              </w:rPr>
              <w:t>社保缴纳证明。</w:t>
            </w:r>
          </w:p>
          <w:p w14:paraId="25DE0264">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2</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 xml:space="preserve">人员稳定性承诺： </w:t>
            </w:r>
            <w:r>
              <w:rPr>
                <w:rFonts w:hint="eastAsia" w:ascii="方正仿宋_GB2312" w:hAnsi="方正仿宋_GB2312" w:eastAsia="方正仿宋_GB2312" w:cs="方正仿宋_GB2312"/>
                <w:snapToGrid w:val="0"/>
                <w:color w:val="auto"/>
                <w:spacing w:val="5"/>
                <w:kern w:val="0"/>
                <w:sz w:val="28"/>
                <w:szCs w:val="28"/>
                <w:lang w:eastAsia="zh-CN"/>
              </w:rPr>
              <w:t>投标人</w:t>
            </w:r>
            <w:r>
              <w:rPr>
                <w:rFonts w:hint="eastAsia" w:ascii="方正仿宋_GB2312" w:hAnsi="方正仿宋_GB2312" w:eastAsia="方正仿宋_GB2312" w:cs="方正仿宋_GB2312"/>
                <w:snapToGrid w:val="0"/>
                <w:color w:val="auto"/>
                <w:spacing w:val="5"/>
                <w:kern w:val="0"/>
                <w:sz w:val="28"/>
                <w:szCs w:val="28"/>
              </w:rPr>
              <w:t>须承诺在质保期内保持技术团队稳定，项目</w:t>
            </w:r>
            <w:r>
              <w:rPr>
                <w:rFonts w:hint="eastAsia" w:ascii="方正仿宋_GB2312" w:hAnsi="方正仿宋_GB2312" w:eastAsia="方正仿宋_GB2312" w:cs="方正仿宋_GB2312"/>
                <w:snapToGrid w:val="0"/>
                <w:color w:val="auto"/>
                <w:spacing w:val="5"/>
                <w:kern w:val="0"/>
                <w:sz w:val="28"/>
                <w:szCs w:val="28"/>
                <w:lang w:eastAsia="zh-CN"/>
              </w:rPr>
              <w:t>维保</w:t>
            </w:r>
            <w:r>
              <w:rPr>
                <w:rFonts w:hint="eastAsia" w:ascii="方正仿宋_GB2312" w:hAnsi="方正仿宋_GB2312" w:eastAsia="方正仿宋_GB2312" w:cs="方正仿宋_GB2312"/>
                <w:snapToGrid w:val="0"/>
                <w:color w:val="auto"/>
                <w:spacing w:val="5"/>
                <w:kern w:val="0"/>
                <w:sz w:val="28"/>
                <w:szCs w:val="28"/>
              </w:rPr>
              <w:t>负责人及核心技术人员未经采购人同意不得随意更换。</w:t>
            </w:r>
          </w:p>
          <w:p w14:paraId="5E129267">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人员变更机制： 确需更换人员的，须提前30个工作日书面通知采购人，并提交接替人员的资质证明，经采购人书面确认后方可更换。接替人员资质不得低于原人员。</w:t>
            </w:r>
          </w:p>
          <w:p w14:paraId="027E4304">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2.相关人员培训:标的包含医护人员及工程人员的培训计划费用，设备装机验收后，现场提供对采购人</w:t>
            </w:r>
            <w:r>
              <w:rPr>
                <w:rFonts w:hint="eastAsia" w:ascii="方正仿宋_GB2312" w:hAnsi="方正仿宋_GB2312" w:eastAsia="方正仿宋_GB2312" w:cs="方正仿宋_GB2312"/>
                <w:snapToGrid w:val="0"/>
                <w:color w:val="auto"/>
                <w:spacing w:val="5"/>
                <w:kern w:val="0"/>
                <w:sz w:val="28"/>
                <w:szCs w:val="28"/>
                <w:lang w:val="en-US" w:eastAsia="en-US" w:bidi="ar-SA"/>
              </w:rPr>
              <w:t>≥</w:t>
            </w:r>
            <w:r>
              <w:rPr>
                <w:rFonts w:hint="eastAsia" w:ascii="方正仿宋_GB2312" w:hAnsi="方正仿宋_GB2312" w:eastAsia="方正仿宋_GB2312" w:cs="方正仿宋_GB2312"/>
                <w:snapToGrid w:val="0"/>
                <w:color w:val="auto"/>
                <w:spacing w:val="5"/>
                <w:kern w:val="0"/>
                <w:sz w:val="28"/>
                <w:szCs w:val="28"/>
                <w:lang w:val="en-US" w:eastAsia="zh-CN" w:bidi="ar-SA"/>
              </w:rPr>
              <w:t>1次</w:t>
            </w:r>
            <w:r>
              <w:rPr>
                <w:rFonts w:hint="eastAsia" w:ascii="方正仿宋_GB2312" w:hAnsi="方正仿宋_GB2312" w:eastAsia="方正仿宋_GB2312" w:cs="方正仿宋_GB2312"/>
                <w:snapToGrid w:val="0"/>
                <w:color w:val="auto"/>
                <w:spacing w:val="5"/>
                <w:kern w:val="0"/>
                <w:sz w:val="28"/>
                <w:szCs w:val="28"/>
              </w:rPr>
              <w:t>基本培训，使采购人使用人员及工程人员，熟练掌握全部功能及基本维修。其中医务人员专项培训2人次，工程人员专项培训2人次，视采购人时间安排确定。</w:t>
            </w:r>
          </w:p>
          <w:p w14:paraId="4964611A">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3.提供7*24小时售后服务，接到采购人通知后2小时内作出实质响应（远程解决或做出预备维护动作），并在24小时内恢复设备运行；</w:t>
            </w:r>
          </w:p>
          <w:p w14:paraId="79BEBC1A">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4.</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发生故障的设备如无法在24小时内修复，则应提供备用设备以保证系统的连续稳定运行，并在5个工作日内修复故障设备或更换新设备，5个工作日内不能解决的，由中标人提供替代设备。保障系统正常运行，在无相同型号的同种设备时，则应更换同类设备中较高型号的产品。所产生的费用，均包含在本次采购报价中，采购人不再承担任何费用。</w:t>
            </w:r>
          </w:p>
          <w:p w14:paraId="172467E8">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5.设备</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硬件的售后服务</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包括但不限于硬件维护维修、配件更换、整机更换、硬件升级、提供替代品</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和</w:t>
            </w:r>
            <w:r>
              <w:rPr>
                <w:rFonts w:hint="eastAsia" w:ascii="方正仿宋_GB2312" w:hAnsi="方正仿宋_GB2312" w:eastAsia="方正仿宋_GB2312" w:cs="方正仿宋_GB2312"/>
                <w:snapToGrid w:val="0"/>
                <w:color w:val="auto"/>
                <w:spacing w:val="5"/>
                <w:kern w:val="0"/>
                <w:sz w:val="28"/>
                <w:szCs w:val="28"/>
              </w:rPr>
              <w:t>应用软件的售后服务</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包括但不限于应用软件维护升级以及非结构性修改</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所产生的费用均包含在本次采购报价中，采购人不再承担任何费用。</w:t>
            </w:r>
          </w:p>
          <w:p w14:paraId="19C4282E">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6.设备</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中标人负责对设备进行定期维护保养，每年至少四次（每季度一次），包括设备的安全检查、质量检查，运行状态检查，提供设备维护保养情况书面报告。并承担所发生的一切费用（包括更换零部件费、人工费和差旅费等）。</w:t>
            </w:r>
          </w:p>
          <w:p w14:paraId="748E5602">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7、</w:t>
            </w:r>
            <w:r>
              <w:rPr>
                <w:rFonts w:hint="eastAsia" w:ascii="方正仿宋_GB2312" w:hAnsi="方正仿宋_GB2312" w:eastAsia="方正仿宋_GB2312" w:cs="方正仿宋_GB2312"/>
                <w:snapToGrid w:val="0"/>
                <w:color w:val="auto"/>
                <w:spacing w:val="5"/>
                <w:kern w:val="0"/>
                <w:sz w:val="28"/>
                <w:szCs w:val="28"/>
                <w:lang w:eastAsia="zh-CN"/>
              </w:rPr>
              <w:t>维保场地与备品备件要求</w:t>
            </w:r>
          </w:p>
          <w:p w14:paraId="5B7A8DDD">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zh-CN"/>
              </w:rPr>
              <w:t>服务网点： 供应商应明确售后服务网点地址，该网点应具备备件仓库、维修测试设备及办公场地。服务网点距离采购人所在地应与所在地现有交通条件下承诺到达现场时间一致。</w:t>
            </w:r>
          </w:p>
          <w:p w14:paraId="41A5613E">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zh-CN"/>
              </w:rPr>
              <w:t>备品备件储备： 供应商须提供《质保期内备品备件储备清单》。承诺对关键部件、易损件建立合理的库存量，确保维修时“有件可用”，严禁因缺件导致维修延期。</w:t>
            </w:r>
          </w:p>
          <w:p w14:paraId="07CBB09D">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zh-CN"/>
              </w:rPr>
              <w:t>备件来源： 所有更换的备品备件必须为原厂正品或同等质量认证产品，不得使用二手、翻新或非授权替代品。</w:t>
            </w:r>
          </w:p>
        </w:tc>
      </w:tr>
      <w:tr w14:paraId="21709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89EC6">
            <w:pPr>
              <w:keepNext/>
              <w:keepLines w:val="0"/>
              <w:pageBreakBefore w:val="0"/>
              <w:widowControl w:val="0"/>
              <w:kinsoku/>
              <w:wordWrap w:val="0"/>
              <w:overflowPunct/>
              <w:topLinePunct/>
              <w:autoSpaceDE/>
              <w:autoSpaceDN/>
              <w:bidi w:val="0"/>
              <w:adjustRightInd w:val="0"/>
              <w:snapToGrid w:val="0"/>
              <w:spacing w:before="185" w:line="360" w:lineRule="exact"/>
              <w:ind w:left="63" w:leftChars="30" w:right="87"/>
              <w:jc w:val="center"/>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6</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6DD42">
            <w:pPr>
              <w:keepNext/>
              <w:keepLines w:val="0"/>
              <w:pageBreakBefore w:val="0"/>
              <w:widowControl w:val="0"/>
              <w:kinsoku/>
              <w:wordWrap w:val="0"/>
              <w:overflowPunct/>
              <w:topLinePunct/>
              <w:autoSpaceDE/>
              <w:autoSpaceDN/>
              <w:bidi w:val="0"/>
              <w:adjustRightInd w:val="0"/>
              <w:snapToGrid w:val="0"/>
              <w:spacing w:before="185" w:line="360" w:lineRule="exact"/>
              <w:ind w:left="63" w:leftChars="30" w:right="87"/>
              <w:jc w:val="center"/>
              <w:textAlignment w:val="baseline"/>
              <w:rPr>
                <w:rFonts w:hint="eastAsia" w:ascii="方正仿宋_GB2312" w:hAnsi="方正仿宋_GB2312" w:eastAsia="方正仿宋_GB2312" w:cs="方正仿宋_GB2312"/>
                <w:snapToGrid w:val="0"/>
                <w:color w:val="auto"/>
                <w:spacing w:val="5"/>
                <w:kern w:val="0"/>
                <w:sz w:val="28"/>
                <w:szCs w:val="28"/>
              </w:rPr>
            </w:pPr>
            <w:bookmarkStart w:id="7" w:name="_Toc204778407"/>
            <w:r>
              <w:rPr>
                <w:rFonts w:hint="eastAsia" w:ascii="方正仿宋_GB2312" w:hAnsi="方正仿宋_GB2312" w:eastAsia="方正仿宋_GB2312" w:cs="方正仿宋_GB2312"/>
                <w:snapToGrid w:val="0"/>
                <w:color w:val="auto"/>
                <w:spacing w:val="5"/>
                <w:kern w:val="0"/>
                <w:sz w:val="28"/>
                <w:szCs w:val="28"/>
              </w:rPr>
              <w:t>医疗器械注册证</w:t>
            </w:r>
            <w:bookmarkEnd w:id="7"/>
          </w:p>
        </w:tc>
        <w:tc>
          <w:tcPr>
            <w:tcW w:w="40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E1D0E5">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jc w:val="both"/>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以上货物供应商所投产品属医疗器械管理范畴的，投标产品属第二、三类医疗器械产品的，投标响应文件中须按《医疗器械注册与备案管理办法》（国家市场监督管理总局令第47号）提供该设备有效的医疗器械注册证复印件加盖投标人单位公章，否则投标无效。</w:t>
            </w:r>
          </w:p>
        </w:tc>
      </w:tr>
      <w:tr w14:paraId="3C544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3658F">
            <w:pPr>
              <w:keepNext/>
              <w:keepLines w:val="0"/>
              <w:pageBreakBefore w:val="0"/>
              <w:widowControl w:val="0"/>
              <w:kinsoku/>
              <w:wordWrap w:val="0"/>
              <w:overflowPunct/>
              <w:topLinePunct/>
              <w:autoSpaceDE/>
              <w:autoSpaceDN/>
              <w:bidi w:val="0"/>
              <w:adjustRightInd w:val="0"/>
              <w:snapToGrid w:val="0"/>
              <w:spacing w:before="178"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lang w:eastAsia="zh-CN"/>
              </w:rPr>
            </w:pPr>
            <w:r>
              <w:rPr>
                <w:rFonts w:hint="eastAsia" w:ascii="方正仿宋_GB2312" w:hAnsi="方正仿宋_GB2312" w:eastAsia="方正仿宋_GB2312" w:cs="方正仿宋_GB2312"/>
                <w:snapToGrid w:val="0"/>
                <w:color w:val="auto"/>
                <w:spacing w:val="6"/>
                <w:sz w:val="28"/>
                <w:szCs w:val="28"/>
                <w:lang w:val="en-US" w:eastAsia="zh-CN"/>
              </w:rPr>
              <w:t>7</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F15B1D">
            <w:pPr>
              <w:keepNext/>
              <w:keepLines w:val="0"/>
              <w:pageBreakBefore w:val="0"/>
              <w:widowControl w:val="0"/>
              <w:kinsoku/>
              <w:wordWrap w:val="0"/>
              <w:overflowPunct/>
              <w:topLinePunct/>
              <w:autoSpaceDE/>
              <w:autoSpaceDN/>
              <w:bidi w:val="0"/>
              <w:adjustRightInd w:val="0"/>
              <w:snapToGrid w:val="0"/>
              <w:spacing w:before="185" w:line="360" w:lineRule="exact"/>
              <w:ind w:left="63" w:leftChars="30" w:right="87"/>
              <w:jc w:val="center"/>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付款方式</w:t>
            </w:r>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7C7B51CB">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1.全部货物送达指定地点、安装调试并验收合格后，双方签署验收合格证，中标人开具全额增值税发票给采购人后6个月内支付合同金额的95%。中标人履行相关配套服务年限达到响应文件承诺的服务年限，且经采购人验收符合合同约定后6个月内，采购人支付合同金额的5%。</w:t>
            </w:r>
          </w:p>
          <w:p w14:paraId="445FF4C4">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2.付款前，中标人须提供符合要求的发票给采购人，否则采购人有权不予支付。中标人应当确保发票真实无误且合法有效，如现存在虚假发票或违规发票的，中标人须赔偿采购人发票票面金额一倍的违约金，且采购人有权终止合同，因终止合同而产生的一切损失均由中标人承担</w:t>
            </w:r>
            <w:r>
              <w:rPr>
                <w:rFonts w:hint="eastAsia" w:ascii="方正仿宋_GB2312" w:hAnsi="方正仿宋_GB2312" w:eastAsia="方正仿宋_GB2312" w:cs="方正仿宋_GB2312"/>
                <w:snapToGrid w:val="0"/>
                <w:color w:val="auto"/>
                <w:kern w:val="0"/>
                <w:sz w:val="28"/>
                <w:szCs w:val="28"/>
                <w:lang w:val="en-US" w:eastAsia="zh-CN" w:bidi="ar"/>
                <w:woUserID w:val="1"/>
              </w:rPr>
              <w:t xml:space="preserve"> 。</w:t>
            </w:r>
          </w:p>
        </w:tc>
      </w:tr>
      <w:tr w14:paraId="26DEF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71450">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default" w:ascii="方正仿宋_GB2312" w:hAnsi="方正仿宋_GB2312" w:eastAsia="方正仿宋_GB2312" w:cs="方正仿宋_GB2312"/>
                <w:snapToGrid w:val="0"/>
                <w:color w:val="auto"/>
                <w:spacing w:val="6"/>
                <w:sz w:val="28"/>
                <w:szCs w:val="28"/>
                <w:lang w:val="en-US" w:eastAsia="zh-CN"/>
              </w:rPr>
            </w:pPr>
            <w:r>
              <w:rPr>
                <w:rFonts w:hint="eastAsia" w:ascii="方正仿宋_GB2312" w:hAnsi="方正仿宋_GB2312" w:eastAsia="方正仿宋_GB2312" w:cs="方正仿宋_GB2312"/>
                <w:snapToGrid w:val="0"/>
                <w:color w:val="auto"/>
                <w:spacing w:val="6"/>
                <w:sz w:val="28"/>
                <w:szCs w:val="28"/>
                <w:lang w:val="en-US" w:eastAsia="zh-CN"/>
              </w:rPr>
              <w:t>8</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83BD5">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8" w:name="_Toc204778411"/>
            <w:r>
              <w:rPr>
                <w:rFonts w:hint="eastAsia" w:ascii="方正仿宋_GB2312" w:hAnsi="方正仿宋_GB2312" w:eastAsia="方正仿宋_GB2312" w:cs="方正仿宋_GB2312"/>
                <w:snapToGrid w:val="0"/>
                <w:color w:val="auto"/>
                <w:spacing w:val="6"/>
                <w:sz w:val="28"/>
                <w:szCs w:val="28"/>
              </w:rPr>
              <w:t>验收标准、验收方法及方案</w:t>
            </w:r>
            <w:bookmarkEnd w:id="8"/>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4D3D2A6A">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1.中标人提供不符合采购文件、投标文件承诺的或本合同规定的货物，采购人有权拒绝接受。</w:t>
            </w:r>
          </w:p>
          <w:p w14:paraId="19160971">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2.中标人应将所提供货物的装箱清单、用户手册、原厂保修卡、随机资料、工具和备品、备件、验收单等交付给采购人，如有缺失应在采购人要求的期限内及时补齐，否则视为逾期交货。</w:t>
            </w:r>
          </w:p>
          <w:p w14:paraId="7964FA82">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3.验收过程中所产生的一切费用均由中标人承担，包括邀请第三方检测机构出具检测报告的费用、邀请第三方验收代理机构组织验收的费用以及因检测或验收不合格导致开展再次检测或验收所产生的费用等。</w:t>
            </w:r>
          </w:p>
          <w:p w14:paraId="2E9B5D5C">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4.中标人所提供的设备必须是全新、完整、未使用过的产品，否则视为不合格产品，不予签收，由此产生的所有费用由</w:t>
            </w:r>
            <w:r>
              <w:rPr>
                <w:rFonts w:hint="eastAsia" w:ascii="方正仿宋_GB2312" w:hAnsi="方正仿宋_GB2312" w:eastAsia="方正仿宋_GB2312" w:cs="方正仿宋_GB2312"/>
                <w:snapToGrid w:val="0"/>
                <w:color w:val="auto"/>
                <w:spacing w:val="5"/>
                <w:kern w:val="0"/>
                <w:sz w:val="28"/>
                <w:szCs w:val="28"/>
                <w:lang w:val="en-US" w:eastAsia="zh-CN"/>
              </w:rPr>
              <w:t>中</w:t>
            </w:r>
            <w:r>
              <w:rPr>
                <w:rFonts w:hint="eastAsia" w:ascii="方正仿宋_GB2312" w:hAnsi="方正仿宋_GB2312" w:eastAsia="方正仿宋_GB2312" w:cs="方正仿宋_GB2312"/>
                <w:snapToGrid w:val="0"/>
                <w:color w:val="auto"/>
                <w:spacing w:val="5"/>
                <w:kern w:val="0"/>
                <w:sz w:val="28"/>
                <w:szCs w:val="28"/>
              </w:rPr>
              <w:t>标人承担，其产品须符合国家、行业有关规定。产品到达现场后，中标人应在采购人在场情况下当面开箱，共同清点、检查外观，作出开箱记录，双方签字确认。</w:t>
            </w:r>
            <w:r>
              <w:rPr>
                <w:rFonts w:hint="eastAsia" w:ascii="方正仿宋_GB2312" w:hAnsi="方正仿宋_GB2312" w:eastAsia="方正仿宋_GB2312" w:cs="方正仿宋_GB2312"/>
                <w:b w:val="0"/>
                <w:bCs w:val="0"/>
                <w:color w:val="auto"/>
                <w:spacing w:val="5"/>
                <w:sz w:val="28"/>
                <w:szCs w:val="28"/>
                <w:lang w:val="en-US" w:eastAsia="zh-CN"/>
              </w:rPr>
              <w:t>需提供产品彩页，提供产品发货地（提供物流信息）。</w:t>
            </w:r>
            <w:r>
              <w:rPr>
                <w:rFonts w:hint="eastAsia" w:ascii="方正仿宋_GB2312" w:hAnsi="方正仿宋_GB2312" w:eastAsia="方正仿宋_GB2312" w:cs="方正仿宋_GB2312"/>
                <w:snapToGrid w:val="0"/>
                <w:color w:val="auto"/>
                <w:spacing w:val="5"/>
                <w:kern w:val="0"/>
                <w:sz w:val="28"/>
                <w:szCs w:val="28"/>
              </w:rPr>
              <w:t>中标人应保证货物到达采购人所在地完好无损，如有缺漏、损坏，由中标人负责调换、补齐或赔偿。</w:t>
            </w:r>
          </w:p>
          <w:p w14:paraId="5D3568A1">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5.产品或服务在安装调试并试运行符合要求后，由验收小组按照采购合同规定的技术、服务、功能、安全标准组织对中标人履约情况进行验收。采购项目的验收，必须严格按照合同与补充合同的约定进行，不得增加合同与补充合同内容规定以外的新的验收内容或标准。其他未尽事宜，按照《关于印发广西壮族自治区政府采购项目履约验收管理办法的通知》（桂财采〔2015〕22号）的相关要求执行。</w:t>
            </w:r>
          </w:p>
          <w:p w14:paraId="03E771E6">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6.中标人提供的货物或服务未达到招标文件规定的要求，且对采购人造成损失的，由中标人承担一切责任，并赔偿所造成的损失。</w:t>
            </w:r>
          </w:p>
          <w:p w14:paraId="6D0A8E13">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7.采购人需要制造商对中标人交付的产品或服务（包括质量、参数等）进行确认的，制造商应予以配合并出具书面意见，相关配合事项由中标人与制造商协调。</w:t>
            </w:r>
          </w:p>
          <w:p w14:paraId="5B815F8B">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8.中标人在验收时须附上设备有效的医疗器械注册证及完整内容的医疗器械注册证附件（注册产品标准/产品技术要求）复印件。（如涉及2类、3类医疗器械时必须提供，1类医疗器械如有请提供，不涉及不提供）。</w:t>
            </w:r>
          </w:p>
          <w:p w14:paraId="31F5690F">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rPr>
              <w:t>9.除采购人需要的产品包装材料外，产品验收后所产生的废弃物（如泡沫、塑料膜、包装袋、安装调试所产生的废弃物等）由中标人处理。</w:t>
            </w:r>
          </w:p>
        </w:tc>
      </w:tr>
      <w:tr w14:paraId="2190D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vAlign w:val="center"/>
          </w:tcPr>
          <w:p w14:paraId="2074142A">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default" w:ascii="方正仿宋_GB2312" w:hAnsi="方正仿宋_GB2312" w:eastAsia="方正仿宋_GB2312" w:cs="方正仿宋_GB2312"/>
                <w:snapToGrid w:val="0"/>
                <w:color w:val="auto"/>
                <w:kern w:val="0"/>
                <w:sz w:val="28"/>
                <w:szCs w:val="28"/>
                <w:lang w:val="en-US" w:eastAsia="zh-CN"/>
              </w:rPr>
            </w:pPr>
            <w:r>
              <w:rPr>
                <w:rFonts w:hint="eastAsia" w:ascii="方正仿宋_GB2312" w:hAnsi="方正仿宋_GB2312" w:eastAsia="方正仿宋_GB2312" w:cs="方正仿宋_GB2312"/>
                <w:snapToGrid w:val="0"/>
                <w:color w:val="auto"/>
                <w:kern w:val="0"/>
                <w:sz w:val="28"/>
                <w:szCs w:val="28"/>
                <w:lang w:val="en-US" w:eastAsia="zh-CN"/>
              </w:rPr>
              <w:t>9</w:t>
            </w:r>
          </w:p>
        </w:tc>
        <w:tc>
          <w:tcPr>
            <w:tcW w:w="569" w:type="pct"/>
            <w:vAlign w:val="center"/>
          </w:tcPr>
          <w:p w14:paraId="31F92D30">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rPr>
            </w:pPr>
          </w:p>
          <w:p w14:paraId="705D9F16">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kern w:val="0"/>
                <w:sz w:val="28"/>
                <w:szCs w:val="28"/>
              </w:rPr>
              <w:t>违约</w:t>
            </w:r>
          </w:p>
          <w:p w14:paraId="05B4FB89">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kern w:val="0"/>
                <w:sz w:val="28"/>
                <w:szCs w:val="28"/>
              </w:rPr>
              <w:t>责任</w:t>
            </w:r>
          </w:p>
          <w:p w14:paraId="513AB5A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p>
        </w:tc>
        <w:tc>
          <w:tcPr>
            <w:tcW w:w="4042" w:type="pct"/>
          </w:tcPr>
          <w:p w14:paraId="41055AB4">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5"/>
                <w:kern w:val="0"/>
                <w:sz w:val="28"/>
                <w:szCs w:val="28"/>
              </w:rPr>
              <w:t>1.中标人所提供的货物规格、技术标准、材料等质量不合格</w:t>
            </w:r>
            <w:r>
              <w:rPr>
                <w:rFonts w:hint="eastAsia" w:ascii="方正仿宋_GB2312" w:hAnsi="方正仿宋_GB2312" w:eastAsia="方正仿宋_GB2312" w:cs="方正仿宋_GB2312"/>
                <w:snapToGrid w:val="0"/>
                <w:color w:val="auto"/>
                <w:kern w:val="0"/>
                <w:sz w:val="28"/>
                <w:szCs w:val="28"/>
              </w:rPr>
              <w:t>或不符合相关法律法规的，应按要求在5日内更换完毕，更</w:t>
            </w:r>
            <w:r>
              <w:rPr>
                <w:rFonts w:hint="eastAsia" w:ascii="方正仿宋_GB2312" w:hAnsi="方正仿宋_GB2312" w:eastAsia="方正仿宋_GB2312" w:cs="方正仿宋_GB2312"/>
                <w:snapToGrid w:val="0"/>
                <w:color w:val="auto"/>
                <w:spacing w:val="-1"/>
                <w:kern w:val="0"/>
                <w:sz w:val="28"/>
                <w:szCs w:val="28"/>
              </w:rPr>
              <w:t>换不</w:t>
            </w:r>
            <w:r>
              <w:rPr>
                <w:rFonts w:hint="eastAsia" w:ascii="方正仿宋_GB2312" w:hAnsi="方正仿宋_GB2312" w:eastAsia="方正仿宋_GB2312" w:cs="方正仿宋_GB2312"/>
                <w:snapToGrid w:val="0"/>
                <w:color w:val="auto"/>
                <w:spacing w:val="5"/>
                <w:kern w:val="0"/>
                <w:sz w:val="28"/>
                <w:szCs w:val="28"/>
              </w:rPr>
              <w:t>及时的按逾期交货处罚，并承担由此造成的损失；若货物投入使用后，采购人在使用过程中发现货物存在交货当下未发现的其他技术标准、材料等质量不合格或不符合相关法律法规问题的（包括中标人应提供而未提供的相关法律法规要求必须具备的资质材</w:t>
            </w:r>
            <w:r>
              <w:rPr>
                <w:rFonts w:hint="eastAsia" w:ascii="方正仿宋_GB2312" w:hAnsi="方正仿宋_GB2312" w:eastAsia="方正仿宋_GB2312" w:cs="方正仿宋_GB2312"/>
                <w:snapToGrid w:val="0"/>
                <w:color w:val="auto"/>
                <w:spacing w:val="6"/>
                <w:kern w:val="0"/>
                <w:sz w:val="28"/>
                <w:szCs w:val="28"/>
              </w:rPr>
              <w:t>料或资质材料到期未及时更新提供的</w:t>
            </w:r>
            <w:r>
              <w:rPr>
                <w:rFonts w:hint="eastAsia" w:ascii="方正仿宋_GB2312" w:hAnsi="方正仿宋_GB2312" w:eastAsia="方正仿宋_GB2312" w:cs="方正仿宋_GB2312"/>
                <w:snapToGrid w:val="0"/>
                <w:color w:val="auto"/>
                <w:spacing w:val="2"/>
                <w:kern w:val="0"/>
                <w:sz w:val="28"/>
                <w:szCs w:val="28"/>
              </w:rPr>
              <w:t>），</w:t>
            </w:r>
            <w:r>
              <w:rPr>
                <w:rFonts w:hint="eastAsia" w:ascii="方正仿宋_GB2312" w:hAnsi="方正仿宋_GB2312" w:eastAsia="方正仿宋_GB2312" w:cs="方正仿宋_GB2312"/>
                <w:snapToGrid w:val="0"/>
                <w:color w:val="auto"/>
                <w:spacing w:val="6"/>
                <w:kern w:val="0"/>
                <w:sz w:val="28"/>
                <w:szCs w:val="28"/>
              </w:rPr>
              <w:t>采购人可以要求</w:t>
            </w:r>
            <w:r>
              <w:rPr>
                <w:rFonts w:hint="eastAsia" w:ascii="方正仿宋_GB2312" w:hAnsi="方正仿宋_GB2312" w:eastAsia="方正仿宋_GB2312" w:cs="方正仿宋_GB2312"/>
                <w:snapToGrid w:val="0"/>
                <w:color w:val="auto"/>
                <w:spacing w:val="5"/>
                <w:kern w:val="0"/>
                <w:sz w:val="28"/>
                <w:szCs w:val="28"/>
              </w:rPr>
              <w:t>更换或退货，中标人须支付采购人该批货款额的30%作为赔偿金。存在质量问题的，采购人有权拒绝接收，同时有权要求中标人支付该批</w:t>
            </w:r>
            <w:r>
              <w:rPr>
                <w:rFonts w:hint="eastAsia" w:ascii="方正仿宋_GB2312" w:hAnsi="方正仿宋_GB2312" w:eastAsia="方正仿宋_GB2312" w:cs="方正仿宋_GB2312"/>
                <w:snapToGrid w:val="0"/>
                <w:color w:val="auto"/>
                <w:spacing w:val="-1"/>
                <w:kern w:val="0"/>
                <w:sz w:val="28"/>
                <w:szCs w:val="28"/>
              </w:rPr>
              <w:t>货款额的</w:t>
            </w:r>
            <w:r>
              <w:rPr>
                <w:rFonts w:hint="eastAsia" w:ascii="方正仿宋_GB2312" w:hAnsi="方正仿宋_GB2312" w:eastAsia="方正仿宋_GB2312" w:cs="方正仿宋_GB2312"/>
                <w:snapToGrid w:val="0"/>
                <w:color w:val="auto"/>
                <w:spacing w:val="-42"/>
                <w:kern w:val="0"/>
                <w:sz w:val="28"/>
                <w:szCs w:val="28"/>
              </w:rPr>
              <w:t xml:space="preserve"> </w:t>
            </w:r>
            <w:r>
              <w:rPr>
                <w:rFonts w:hint="eastAsia" w:ascii="方正仿宋_GB2312" w:hAnsi="方正仿宋_GB2312" w:eastAsia="方正仿宋_GB2312" w:cs="方正仿宋_GB2312"/>
                <w:snapToGrid w:val="0"/>
                <w:color w:val="auto"/>
                <w:spacing w:val="-1"/>
                <w:kern w:val="0"/>
                <w:sz w:val="28"/>
                <w:szCs w:val="28"/>
              </w:rPr>
              <w:t>5%违约金并赔偿采购人经济损失。</w:t>
            </w:r>
          </w:p>
          <w:p w14:paraId="11BC57F8">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中标人提供的货物如侵犯了第三方合法权益而引发的任何纠纷或诉讼，均由中标人负责交涉并承担全部责任。如因提供的货物侵犯了第三方合法权益而引发了纠纷或诉讼，导致无法按期交付使用的，采购人可拒绝验收，同时有权要求中标人支付该批货款额的5%违约金并赔偿采购人经济损失。</w:t>
            </w:r>
          </w:p>
          <w:p w14:paraId="1189EA74">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3.因包装、运输引起的货物损坏，按质量不合格处理。</w:t>
            </w:r>
          </w:p>
          <w:p w14:paraId="64B4215A">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4.中标人逾期交货的，每天向采购人偿付该逾期交付货物金额的3‰违约金，但违约金累计不得超过该批货款额的5%。超过10天采购人有权解除合同，中标人承担因此给采购人造成的经济损失。</w:t>
            </w:r>
          </w:p>
          <w:p w14:paraId="40DD17C4">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5.中标人未按签订的合同和投标文件中规定的服务承诺提供售后服务的，中标人应按签订的合同合计金额的5%向采购人支付违约金；承诺由生产厂家提供正规售后服务但经查证后无法得到生产厂家正规售后服务的，采购人可拒绝验收。</w:t>
            </w:r>
          </w:p>
          <w:p w14:paraId="64E80E35">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6.中标人提供的货物在</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内，因设计、工艺或材料的缺陷和其他质量原因造成的问题的，产生的维修或更换费用给采购人造成的经济损失</w:t>
            </w:r>
            <w:r>
              <w:rPr>
                <w:rFonts w:hint="eastAsia" w:ascii="方正仿宋_GB2312" w:hAnsi="方正仿宋_GB2312" w:eastAsia="方正仿宋_GB2312" w:cs="方正仿宋_GB2312"/>
                <w:snapToGrid w:val="0"/>
                <w:color w:val="auto"/>
                <w:spacing w:val="5"/>
                <w:kern w:val="0"/>
                <w:sz w:val="28"/>
                <w:szCs w:val="28"/>
                <w:lang w:val="en-US" w:eastAsia="zh-CN"/>
              </w:rPr>
              <w:t>的</w:t>
            </w:r>
            <w:r>
              <w:rPr>
                <w:rFonts w:hint="eastAsia" w:ascii="方正仿宋_GB2312" w:hAnsi="方正仿宋_GB2312" w:eastAsia="方正仿宋_GB2312" w:cs="方正仿宋_GB2312"/>
                <w:snapToGrid w:val="0"/>
                <w:color w:val="auto"/>
                <w:spacing w:val="5"/>
                <w:kern w:val="0"/>
                <w:sz w:val="28"/>
                <w:szCs w:val="28"/>
              </w:rPr>
              <w:t>均由中标人承担。</w:t>
            </w:r>
          </w:p>
          <w:p w14:paraId="0E58BD80">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7.如发现所提供的产品有弄虚作假的行为，采购人有权拒绝接收产品或退货，并要求中标人赔偿损失，此赔偿总额为该批货款的50%，同时采购人有权单方终止协议。</w:t>
            </w:r>
          </w:p>
          <w:p w14:paraId="4A817243">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5"/>
                <w:kern w:val="0"/>
                <w:sz w:val="28"/>
                <w:szCs w:val="28"/>
              </w:rPr>
              <w:t>8.将本项目转让、分包给他人的，一经发现，采购人有权单</w:t>
            </w:r>
            <w:r>
              <w:rPr>
                <w:rFonts w:hint="eastAsia" w:ascii="方正仿宋_GB2312" w:hAnsi="方正仿宋_GB2312" w:eastAsia="方正仿宋_GB2312" w:cs="方正仿宋_GB2312"/>
                <w:snapToGrid w:val="0"/>
                <w:color w:val="auto"/>
                <w:spacing w:val="-1"/>
                <w:kern w:val="0"/>
                <w:sz w:val="28"/>
                <w:szCs w:val="28"/>
              </w:rPr>
              <w:t>方终止协议，并有权要求中标人承担由此造成的一切经济损失。</w:t>
            </w:r>
          </w:p>
          <w:p w14:paraId="416A4B3E">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1"/>
                <w:kern w:val="0"/>
                <w:sz w:val="28"/>
                <w:szCs w:val="28"/>
              </w:rPr>
              <w:t>9.其</w:t>
            </w:r>
            <w:r>
              <w:rPr>
                <w:rFonts w:hint="eastAsia" w:ascii="方正仿宋_GB2312" w:hAnsi="方正仿宋_GB2312" w:eastAsia="方正仿宋_GB2312" w:cs="方正仿宋_GB2312"/>
                <w:snapToGrid w:val="0"/>
                <w:color w:val="auto"/>
                <w:spacing w:val="5"/>
                <w:kern w:val="0"/>
                <w:sz w:val="28"/>
                <w:szCs w:val="28"/>
              </w:rPr>
              <w:t>他</w:t>
            </w:r>
            <w:r>
              <w:rPr>
                <w:rFonts w:hint="eastAsia" w:ascii="方正仿宋_GB2312" w:hAnsi="方正仿宋_GB2312" w:eastAsia="方正仿宋_GB2312" w:cs="方正仿宋_GB2312"/>
                <w:snapToGrid w:val="0"/>
                <w:color w:val="auto"/>
                <w:spacing w:val="-1"/>
                <w:kern w:val="0"/>
                <w:sz w:val="28"/>
                <w:szCs w:val="28"/>
              </w:rPr>
              <w:t>违约行为按违约货款额</w:t>
            </w:r>
            <w:r>
              <w:rPr>
                <w:rFonts w:hint="eastAsia" w:ascii="方正仿宋_GB2312" w:hAnsi="方正仿宋_GB2312" w:eastAsia="方正仿宋_GB2312" w:cs="方正仿宋_GB2312"/>
                <w:snapToGrid w:val="0"/>
                <w:color w:val="auto"/>
                <w:spacing w:val="-35"/>
                <w:kern w:val="0"/>
                <w:sz w:val="28"/>
                <w:szCs w:val="28"/>
              </w:rPr>
              <w:t xml:space="preserve"> </w:t>
            </w:r>
            <w:r>
              <w:rPr>
                <w:rFonts w:hint="eastAsia" w:ascii="方正仿宋_GB2312" w:hAnsi="方正仿宋_GB2312" w:eastAsia="方正仿宋_GB2312" w:cs="方正仿宋_GB2312"/>
                <w:snapToGrid w:val="0"/>
                <w:color w:val="auto"/>
                <w:spacing w:val="-1"/>
                <w:kern w:val="0"/>
                <w:sz w:val="28"/>
                <w:szCs w:val="28"/>
              </w:rPr>
              <w:t>5%收取违约金并赔偿经济损</w:t>
            </w:r>
            <w:r>
              <w:rPr>
                <w:rFonts w:hint="eastAsia" w:ascii="方正仿宋_GB2312" w:hAnsi="方正仿宋_GB2312" w:eastAsia="方正仿宋_GB2312" w:cs="方正仿宋_GB2312"/>
                <w:snapToGrid w:val="0"/>
                <w:color w:val="auto"/>
                <w:spacing w:val="-12"/>
                <w:kern w:val="0"/>
                <w:sz w:val="28"/>
                <w:szCs w:val="28"/>
              </w:rPr>
              <w:t>失。</w:t>
            </w:r>
          </w:p>
        </w:tc>
      </w:tr>
      <w:tr w14:paraId="0B143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3" w:hRule="atLeast"/>
          <w:jc w:val="center"/>
        </w:trPr>
        <w:tc>
          <w:tcPr>
            <w:tcW w:w="388" w:type="pct"/>
            <w:vAlign w:val="center"/>
          </w:tcPr>
          <w:p w14:paraId="492FE1A4">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val="en-US" w:eastAsia="zh-CN"/>
              </w:rPr>
            </w:pPr>
            <w:r>
              <w:rPr>
                <w:rFonts w:hint="eastAsia" w:ascii="方正仿宋_GB2312" w:hAnsi="方正仿宋_GB2312" w:eastAsia="方正仿宋_GB2312" w:cs="方正仿宋_GB2312"/>
                <w:snapToGrid w:val="0"/>
                <w:color w:val="auto"/>
                <w:spacing w:val="-7"/>
                <w:kern w:val="0"/>
                <w:sz w:val="28"/>
                <w:szCs w:val="28"/>
                <w:lang w:eastAsia="en-US"/>
              </w:rPr>
              <w:t>1</w:t>
            </w:r>
            <w:r>
              <w:rPr>
                <w:rFonts w:hint="eastAsia" w:ascii="方正仿宋_GB2312" w:hAnsi="方正仿宋_GB2312" w:eastAsia="方正仿宋_GB2312" w:cs="方正仿宋_GB2312"/>
                <w:snapToGrid w:val="0"/>
                <w:color w:val="auto"/>
                <w:spacing w:val="-7"/>
                <w:kern w:val="0"/>
                <w:sz w:val="28"/>
                <w:szCs w:val="28"/>
                <w:lang w:val="en-US" w:eastAsia="zh-CN"/>
              </w:rPr>
              <w:t>0</w:t>
            </w:r>
          </w:p>
        </w:tc>
        <w:tc>
          <w:tcPr>
            <w:tcW w:w="569" w:type="pct"/>
            <w:vAlign w:val="center"/>
          </w:tcPr>
          <w:p w14:paraId="2B8F7F8F">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b w:val="0"/>
                <w:bCs w:val="0"/>
                <w:snapToGrid w:val="0"/>
                <w:color w:val="auto"/>
                <w:spacing w:val="-2"/>
                <w:kern w:val="0"/>
                <w:sz w:val="28"/>
                <w:szCs w:val="28"/>
                <w:lang w:eastAsia="en-US"/>
              </w:rPr>
              <w:t>使用期限要求</w:t>
            </w:r>
          </w:p>
        </w:tc>
        <w:tc>
          <w:tcPr>
            <w:tcW w:w="4042" w:type="pct"/>
          </w:tcPr>
          <w:p w14:paraId="75D32447">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1.设备使用期（或有效期）</w:t>
            </w:r>
            <w:r>
              <w:rPr>
                <w:rFonts w:hint="eastAsia" w:ascii="方正仿宋_GB2312" w:hAnsi="方正仿宋_GB2312" w:eastAsia="方正仿宋_GB2312" w:cs="方正仿宋_GB2312"/>
                <w:snapToGrid w:val="0"/>
                <w:color w:val="auto"/>
                <w:spacing w:val="5"/>
                <w:kern w:val="0"/>
                <w:sz w:val="28"/>
                <w:szCs w:val="28"/>
                <w:lang w:val="en-US" w:eastAsia="en-US" w:bidi="ar-SA"/>
              </w:rPr>
              <w:t>≥</w:t>
            </w:r>
            <w:r>
              <w:rPr>
                <w:rFonts w:hint="eastAsia" w:ascii="方正仿宋_GB2312" w:hAnsi="方正仿宋_GB2312" w:eastAsia="方正仿宋_GB2312" w:cs="方正仿宋_GB2312"/>
                <w:snapToGrid w:val="0"/>
                <w:color w:val="auto"/>
                <w:spacing w:val="5"/>
                <w:kern w:val="0"/>
                <w:sz w:val="28"/>
                <w:szCs w:val="28"/>
                <w:lang w:val="en-US" w:eastAsia="zh-CN" w:bidi="ar-SA"/>
              </w:rPr>
              <w:t>5 年（以注册证或技术白皮书为准）。中标人所提供货物如有“使用期限”要求的，需逐台写明该设备的“使用期限”。</w:t>
            </w:r>
          </w:p>
          <w:p w14:paraId="4FBB731E">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2.中标人交货时，所提供货物如有“使用期限”要求的，应符合以下要求：</w:t>
            </w:r>
          </w:p>
          <w:p w14:paraId="724D99E4">
            <w:pPr>
              <w:keepNext w:val="0"/>
              <w:keepLines w:val="0"/>
              <w:pageBreakBefore w:val="0"/>
              <w:widowControl/>
              <w:suppressLineNumbers w:val="0"/>
              <w:overflowPunct/>
              <w:bidi w:val="0"/>
              <w:adjustRightInd w:val="0"/>
              <w:snapToGrid w:val="0"/>
              <w:spacing w:line="360" w:lineRule="exact"/>
              <w:ind w:left="63" w:leftChars="30" w:firstLine="580" w:firstLineChars="20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所提供货物为非进口货物的“剩余使用期限”需大于等于该货物“使用期限”的95%；所提供货物为进口货物的，要求交货（开箱验收）时所提供货物的生产日期在6个月以内。</w:t>
            </w:r>
          </w:p>
          <w:p w14:paraId="64A3AF81">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en-US"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备注：“使用期限”指《医疗器械监督管理条例（中华人民共和国国务院令第739 号）》及相关法规指明的“使用期限”。“剩余使用期限”指从中标人交货时到该货物达到规定的“使用期限”所剩余的时间。计算方法为：“剩余使用期限”=“使用期限”-（货物生产日期至中标人交货日期的时间间隔）。如某货物，其“使用期限”为60个月，生产日期为2024年1月1日，中标人交货日期为2024年3月31日。其“剩余使用期限”=60个月-3个月=57个月。</w:t>
            </w:r>
          </w:p>
        </w:tc>
      </w:tr>
      <w:tr w14:paraId="71001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4217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val="en-US" w:eastAsia="zh-CN"/>
              </w:rPr>
            </w:pPr>
            <w:bookmarkStart w:id="9" w:name="_Toc204778412"/>
            <w:r>
              <w:rPr>
                <w:rFonts w:hint="eastAsia" w:ascii="方正仿宋_GB2312" w:hAnsi="方正仿宋_GB2312" w:eastAsia="方正仿宋_GB2312" w:cs="方正仿宋_GB2312"/>
                <w:snapToGrid w:val="0"/>
                <w:color w:val="auto"/>
                <w:spacing w:val="6"/>
                <w:kern w:val="0"/>
                <w:sz w:val="28"/>
                <w:szCs w:val="28"/>
              </w:rPr>
              <w:t>1</w:t>
            </w:r>
            <w:bookmarkEnd w:id="9"/>
            <w:r>
              <w:rPr>
                <w:rFonts w:hint="eastAsia" w:ascii="方正仿宋_GB2312" w:hAnsi="方正仿宋_GB2312" w:eastAsia="方正仿宋_GB2312" w:cs="方正仿宋_GB2312"/>
                <w:snapToGrid w:val="0"/>
                <w:color w:val="auto"/>
                <w:spacing w:val="6"/>
                <w:kern w:val="0"/>
                <w:sz w:val="28"/>
                <w:szCs w:val="28"/>
                <w:lang w:val="en-US" w:eastAsia="zh-CN"/>
              </w:rPr>
              <w:t>1</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D3329">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b w:val="0"/>
                <w:bCs w:val="0"/>
                <w:snapToGrid w:val="0"/>
                <w:color w:val="auto"/>
                <w:spacing w:val="-2"/>
                <w:kern w:val="0"/>
                <w:sz w:val="28"/>
                <w:szCs w:val="28"/>
                <w:lang w:eastAsia="en-US"/>
              </w:rPr>
            </w:pPr>
            <w:bookmarkStart w:id="10" w:name="_Toc204778413"/>
            <w:r>
              <w:rPr>
                <w:rFonts w:hint="eastAsia" w:ascii="方正仿宋_GB2312" w:hAnsi="方正仿宋_GB2312" w:eastAsia="方正仿宋_GB2312" w:cs="方正仿宋_GB2312"/>
                <w:b w:val="0"/>
                <w:bCs w:val="0"/>
                <w:snapToGrid w:val="0"/>
                <w:color w:val="auto"/>
                <w:spacing w:val="-2"/>
                <w:kern w:val="0"/>
                <w:sz w:val="28"/>
                <w:szCs w:val="28"/>
                <w:lang w:eastAsia="en-US"/>
              </w:rPr>
              <w:t>其他</w:t>
            </w:r>
          </w:p>
          <w:p w14:paraId="54B66789">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b w:val="0"/>
                <w:bCs w:val="0"/>
                <w:snapToGrid w:val="0"/>
                <w:color w:val="auto"/>
                <w:spacing w:val="-2"/>
                <w:kern w:val="0"/>
                <w:sz w:val="28"/>
                <w:szCs w:val="28"/>
                <w:lang w:eastAsia="en-US"/>
              </w:rPr>
              <w:t>要求</w:t>
            </w:r>
            <w:bookmarkEnd w:id="10"/>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0213A5F6">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投标文件中提供投标产品对外公开的产品彩页或说明书（体现技术参数，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26562941">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2.中标人在供货时必须提供所投标产品生产厂家合法授权的厂家代理商出具的授权书</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原件备查。</w:t>
            </w:r>
          </w:p>
          <w:p w14:paraId="056455D5">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rPr>
              <w:t>.在安装期间，未按安全文明作业规范要求进行的，尤其是违</w:t>
            </w:r>
            <w:r>
              <w:rPr>
                <w:rFonts w:hint="eastAsia" w:ascii="方正仿宋_GB2312" w:hAnsi="方正仿宋_GB2312" w:eastAsia="方正仿宋_GB2312" w:cs="方正仿宋_GB2312"/>
                <w:snapToGrid w:val="0"/>
                <w:color w:val="auto"/>
                <w:spacing w:val="5"/>
                <w:kern w:val="0"/>
                <w:sz w:val="28"/>
                <w:szCs w:val="28"/>
                <w:lang w:val="en-US" w:eastAsia="zh-CN"/>
              </w:rPr>
              <w:t>反</w:t>
            </w:r>
            <w:r>
              <w:rPr>
                <w:rFonts w:hint="eastAsia" w:ascii="方正仿宋_GB2312" w:hAnsi="方正仿宋_GB2312" w:eastAsia="方正仿宋_GB2312" w:cs="方正仿宋_GB2312"/>
                <w:snapToGrid w:val="0"/>
                <w:color w:val="auto"/>
                <w:spacing w:val="5"/>
                <w:kern w:val="0"/>
                <w:sz w:val="28"/>
                <w:szCs w:val="28"/>
              </w:rPr>
              <w:t xml:space="preserve">工完场清和禁烟规定的，限期整改不合格的，视情节严重情况扣除合同款项10-1000元/次。 </w:t>
            </w:r>
          </w:p>
          <w:p w14:paraId="27BF4F4D">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4</w:t>
            </w:r>
            <w:r>
              <w:rPr>
                <w:rFonts w:hint="eastAsia" w:ascii="方正仿宋_GB2312" w:hAnsi="方正仿宋_GB2312" w:eastAsia="方正仿宋_GB2312" w:cs="方正仿宋_GB2312"/>
                <w:snapToGrid w:val="0"/>
                <w:color w:val="auto"/>
                <w:spacing w:val="5"/>
                <w:kern w:val="0"/>
                <w:sz w:val="28"/>
                <w:szCs w:val="28"/>
              </w:rPr>
              <w:t xml:space="preserve">.发生其他安装和维保不合格情况的，限期整改不合格的，视情节严重情况扣除合同款项10-1000元/次。情节特别严重，导致项目无法实施的，采购人免责终止该项目合同。 </w:t>
            </w:r>
          </w:p>
        </w:tc>
      </w:tr>
      <w:tr w14:paraId="6C4F5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000" w:type="pct"/>
            <w:gridSpan w:val="3"/>
            <w:vAlign w:val="center"/>
          </w:tcPr>
          <w:p w14:paraId="3C2C3AD7">
            <w:pPr>
              <w:keepNext/>
              <w:keepLines w:val="0"/>
              <w:pageBreakBefore w:val="0"/>
              <w:widowControl w:val="0"/>
              <w:kinsoku/>
              <w:wordWrap w:val="0"/>
              <w:overflowPunct/>
              <w:topLinePunct/>
              <w:autoSpaceDE/>
              <w:autoSpaceDN/>
              <w:bidi w:val="0"/>
              <w:adjustRightInd w:val="0"/>
              <w:snapToGrid w:val="0"/>
              <w:spacing w:before="227" w:line="360" w:lineRule="exact"/>
              <w:ind w:left="63" w:leftChars="30"/>
              <w:jc w:val="left"/>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spacing w:val="-4"/>
                <w:kern w:val="0"/>
                <w:sz w:val="28"/>
                <w:szCs w:val="28"/>
              </w:rPr>
              <w:t>三</w:t>
            </w:r>
            <w:r>
              <w:rPr>
                <w:rFonts w:hint="eastAsia" w:ascii="方正仿宋_GB2312" w:hAnsi="方正仿宋_GB2312" w:eastAsia="方正仿宋_GB2312" w:cs="方正仿宋_GB2312"/>
                <w:snapToGrid w:val="0"/>
                <w:color w:val="auto"/>
                <w:spacing w:val="-4"/>
                <w:kern w:val="0"/>
                <w:sz w:val="28"/>
                <w:szCs w:val="28"/>
                <w:lang w:eastAsia="en-US"/>
              </w:rPr>
              <w:t>、进口产品说明</w:t>
            </w:r>
          </w:p>
        </w:tc>
      </w:tr>
      <w:tr w14:paraId="018B2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vAlign w:val="center"/>
          </w:tcPr>
          <w:p w14:paraId="28B6F4DA">
            <w:pPr>
              <w:keepNext/>
              <w:keepLines w:val="0"/>
              <w:pageBreakBefore w:val="0"/>
              <w:widowControl w:val="0"/>
              <w:kinsoku/>
              <w:wordWrap w:val="0"/>
              <w:overflowPunct/>
              <w:topLinePunct/>
              <w:autoSpaceDE/>
              <w:autoSpaceDN/>
              <w:bidi w:val="0"/>
              <w:adjustRightInd w:val="0"/>
              <w:snapToGrid w:val="0"/>
              <w:spacing w:before="72"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kern w:val="0"/>
                <w:sz w:val="28"/>
                <w:szCs w:val="28"/>
                <w:lang w:eastAsia="en-US"/>
              </w:rPr>
              <w:t>1</w:t>
            </w:r>
          </w:p>
        </w:tc>
        <w:tc>
          <w:tcPr>
            <w:tcW w:w="569" w:type="pct"/>
            <w:vAlign w:val="center"/>
          </w:tcPr>
          <w:p w14:paraId="7B52547E">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spacing w:val="-1"/>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进口</w:t>
            </w:r>
          </w:p>
          <w:p w14:paraId="75990D0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spacing w:val="-1"/>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产品</w:t>
            </w:r>
          </w:p>
          <w:p w14:paraId="064BE17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说明</w:t>
            </w:r>
          </w:p>
        </w:tc>
        <w:tc>
          <w:tcPr>
            <w:tcW w:w="4042" w:type="pct"/>
          </w:tcPr>
          <w:p w14:paraId="5897042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本投标产品可选用进口产品；选用进口产品时必须为全套原装进口产品（即通过中国海关报关验放进入中国境内且产自关境外的产品），同时</w:t>
            </w:r>
            <w:r>
              <w:rPr>
                <w:rFonts w:hint="eastAsia" w:ascii="方正仿宋_GB2312" w:hAnsi="方正仿宋_GB2312" w:eastAsia="方正仿宋_GB2312" w:cs="方正仿宋_GB2312"/>
                <w:snapToGrid w:val="0"/>
                <w:color w:val="auto"/>
                <w:spacing w:val="5"/>
                <w:kern w:val="0"/>
                <w:sz w:val="28"/>
                <w:szCs w:val="28"/>
                <w:lang w:eastAsia="zh-CN"/>
              </w:rPr>
              <w:t>中标人</w:t>
            </w:r>
            <w:r>
              <w:rPr>
                <w:rFonts w:hint="eastAsia" w:ascii="方正仿宋_GB2312" w:hAnsi="方正仿宋_GB2312" w:eastAsia="方正仿宋_GB2312" w:cs="方正仿宋_GB2312"/>
                <w:snapToGrid w:val="0"/>
                <w:color w:val="auto"/>
                <w:spacing w:val="5"/>
                <w:kern w:val="0"/>
                <w:sz w:val="28"/>
                <w:szCs w:val="28"/>
              </w:rPr>
              <w:t>必须负责办理进口产品所有相关手续并承担所有费用。优先采购向我国企业转让技术、与我国企业签订消化吸收再创新方案的</w:t>
            </w:r>
            <w:r>
              <w:rPr>
                <w:rFonts w:hint="eastAsia" w:ascii="方正仿宋_GB2312" w:hAnsi="方正仿宋_GB2312" w:eastAsia="方正仿宋_GB2312" w:cs="方正仿宋_GB2312"/>
                <w:snapToGrid w:val="0"/>
                <w:color w:val="auto"/>
                <w:spacing w:val="5"/>
                <w:kern w:val="0"/>
                <w:sz w:val="28"/>
                <w:szCs w:val="28"/>
                <w:lang w:eastAsia="zh-CN"/>
              </w:rPr>
              <w:t>中标人</w:t>
            </w:r>
            <w:r>
              <w:rPr>
                <w:rFonts w:hint="eastAsia" w:ascii="方正仿宋_GB2312" w:hAnsi="方正仿宋_GB2312" w:eastAsia="方正仿宋_GB2312" w:cs="方正仿宋_GB2312"/>
                <w:snapToGrid w:val="0"/>
                <w:color w:val="auto"/>
                <w:spacing w:val="5"/>
                <w:kern w:val="0"/>
                <w:sz w:val="28"/>
                <w:szCs w:val="28"/>
              </w:rPr>
              <w:t>的进口产品。</w:t>
            </w:r>
          </w:p>
          <w:p w14:paraId="71E78C7A">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5"/>
                <w:kern w:val="0"/>
                <w:sz w:val="28"/>
                <w:szCs w:val="28"/>
              </w:rPr>
              <w:sym w:font="Wingdings 2" w:char="00A3"/>
            </w:r>
            <w:r>
              <w:rPr>
                <w:rFonts w:hint="eastAsia" w:ascii="方正仿宋_GB2312" w:hAnsi="方正仿宋_GB2312" w:eastAsia="方正仿宋_GB2312" w:cs="方正仿宋_GB2312"/>
                <w:snapToGrid w:val="0"/>
                <w:color w:val="auto"/>
                <w:spacing w:val="5"/>
                <w:kern w:val="0"/>
                <w:sz w:val="28"/>
                <w:szCs w:val="28"/>
              </w:rPr>
              <w:t>本标项货物不接受进口产品（即通过中国海关报关验放进入中国境内且产自关境外的产品）参与投标，如有进口产品参与投标的作无效标处理。</w:t>
            </w:r>
          </w:p>
        </w:tc>
      </w:tr>
    </w:tbl>
    <w:p w14:paraId="3B2D90D8">
      <w:pPr>
        <w:keepNext/>
        <w:keepLines w:val="0"/>
        <w:pageBreakBefore w:val="0"/>
        <w:widowControl w:val="0"/>
        <w:kinsoku/>
        <w:wordWrap w:val="0"/>
        <w:overflowPunct/>
        <w:topLinePunct/>
        <w:autoSpaceDE/>
        <w:autoSpaceDN/>
        <w:bidi w:val="0"/>
        <w:adjustRightInd w:val="0"/>
        <w:snapToGrid w:val="0"/>
        <w:rPr>
          <w:rFonts w:hint="eastAsia" w:ascii="方正仿宋_GB2312" w:hAnsi="方正仿宋_GB2312" w:eastAsia="方正仿宋_GB2312" w:cs="方正仿宋_GB2312"/>
          <w:sz w:val="28"/>
          <w:szCs w:val="28"/>
        </w:rPr>
      </w:pPr>
    </w:p>
    <w:sectPr>
      <w:headerReference r:id="rId5" w:type="default"/>
      <w:footerReference r:id="rId6" w:type="default"/>
      <w:pgSz w:w="11906" w:h="16838"/>
      <w:pgMar w:top="1247" w:right="1247" w:bottom="1247" w:left="124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D96B3B88-E8D1-4D52-9821-329F42CF61BD}"/>
  </w:font>
  <w:font w:name="方正仿宋_GB2312">
    <w:panose1 w:val="02000000000000000000"/>
    <w:charset w:val="86"/>
    <w:family w:val="auto"/>
    <w:pitch w:val="default"/>
    <w:sig w:usb0="A00002BF" w:usb1="184F6CFA" w:usb2="00000012" w:usb3="00000000" w:csb0="00040001" w:csb1="00000000"/>
    <w:embedRegular r:id="rId2" w:fontKey="{5E291B92-EA71-49BE-A32E-666B8394E457}"/>
  </w:font>
  <w:font w:name="Wingdings 2">
    <w:panose1 w:val="05020102010507070707"/>
    <w:charset w:val="02"/>
    <w:family w:val="roman"/>
    <w:pitch w:val="default"/>
    <w:sig w:usb0="00000000" w:usb1="00000000" w:usb2="00000000" w:usb3="00000000" w:csb0="80000000" w:csb1="00000000"/>
    <w:embedRegular r:id="rId3" w:fontKey="{32299011-1036-4A18-9D19-A65E72F01B5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669B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63FF4">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963FF4">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5923D">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20AC7"/>
    <w:rsid w:val="00A65FA9"/>
    <w:rsid w:val="00BD415B"/>
    <w:rsid w:val="013712F7"/>
    <w:rsid w:val="018A1427"/>
    <w:rsid w:val="01A36CAD"/>
    <w:rsid w:val="01A52705"/>
    <w:rsid w:val="01AA29F1"/>
    <w:rsid w:val="01B82438"/>
    <w:rsid w:val="02026E30"/>
    <w:rsid w:val="020E2058"/>
    <w:rsid w:val="02290C40"/>
    <w:rsid w:val="0259599B"/>
    <w:rsid w:val="02604634"/>
    <w:rsid w:val="0270061D"/>
    <w:rsid w:val="027D0F8C"/>
    <w:rsid w:val="028C5C11"/>
    <w:rsid w:val="02B74A8F"/>
    <w:rsid w:val="02CD47AD"/>
    <w:rsid w:val="02F3787E"/>
    <w:rsid w:val="03027DDA"/>
    <w:rsid w:val="0309532E"/>
    <w:rsid w:val="030D0562"/>
    <w:rsid w:val="03196F07"/>
    <w:rsid w:val="03411FB9"/>
    <w:rsid w:val="03D073F5"/>
    <w:rsid w:val="042E69E2"/>
    <w:rsid w:val="04450EA5"/>
    <w:rsid w:val="04583A5F"/>
    <w:rsid w:val="049727D9"/>
    <w:rsid w:val="049D3B67"/>
    <w:rsid w:val="049F5394"/>
    <w:rsid w:val="04CB2AFA"/>
    <w:rsid w:val="05695DF6"/>
    <w:rsid w:val="05E859B2"/>
    <w:rsid w:val="05EF3F4F"/>
    <w:rsid w:val="060F45F1"/>
    <w:rsid w:val="061912CB"/>
    <w:rsid w:val="06A411DD"/>
    <w:rsid w:val="06B56F46"/>
    <w:rsid w:val="06C61034"/>
    <w:rsid w:val="074E2EF7"/>
    <w:rsid w:val="0754556F"/>
    <w:rsid w:val="08406CE4"/>
    <w:rsid w:val="084A190F"/>
    <w:rsid w:val="089B0735"/>
    <w:rsid w:val="08AA0601"/>
    <w:rsid w:val="08AE340D"/>
    <w:rsid w:val="0911117F"/>
    <w:rsid w:val="09385C0D"/>
    <w:rsid w:val="095A5B83"/>
    <w:rsid w:val="09864BCA"/>
    <w:rsid w:val="09904BAE"/>
    <w:rsid w:val="09CF031F"/>
    <w:rsid w:val="09E044EE"/>
    <w:rsid w:val="09F61D50"/>
    <w:rsid w:val="09F85C5C"/>
    <w:rsid w:val="0A636CB9"/>
    <w:rsid w:val="0A7669ED"/>
    <w:rsid w:val="0AB27352"/>
    <w:rsid w:val="0ABD757B"/>
    <w:rsid w:val="0B114DF3"/>
    <w:rsid w:val="0B7F5D75"/>
    <w:rsid w:val="0BCF0C3D"/>
    <w:rsid w:val="0C357C33"/>
    <w:rsid w:val="0C782EF0"/>
    <w:rsid w:val="0CA065CC"/>
    <w:rsid w:val="0CA21D1B"/>
    <w:rsid w:val="0D0B5B12"/>
    <w:rsid w:val="0D493385"/>
    <w:rsid w:val="0D554FDF"/>
    <w:rsid w:val="0D7731A8"/>
    <w:rsid w:val="0D942D77"/>
    <w:rsid w:val="0DA73361"/>
    <w:rsid w:val="0E2E162B"/>
    <w:rsid w:val="0E74188B"/>
    <w:rsid w:val="0E8853C5"/>
    <w:rsid w:val="0EB07B0D"/>
    <w:rsid w:val="0EEC3721"/>
    <w:rsid w:val="0F2F1860"/>
    <w:rsid w:val="0F331350"/>
    <w:rsid w:val="0F5C36F4"/>
    <w:rsid w:val="0F625791"/>
    <w:rsid w:val="0F87344A"/>
    <w:rsid w:val="0FBC0EA0"/>
    <w:rsid w:val="0FC621C4"/>
    <w:rsid w:val="101C0036"/>
    <w:rsid w:val="101E5B5C"/>
    <w:rsid w:val="10594DE6"/>
    <w:rsid w:val="105E2D2D"/>
    <w:rsid w:val="106D0892"/>
    <w:rsid w:val="10960A6F"/>
    <w:rsid w:val="10AC760C"/>
    <w:rsid w:val="10B244F7"/>
    <w:rsid w:val="111B02EE"/>
    <w:rsid w:val="112E0021"/>
    <w:rsid w:val="115000CA"/>
    <w:rsid w:val="11716160"/>
    <w:rsid w:val="11A93B4C"/>
    <w:rsid w:val="11D32976"/>
    <w:rsid w:val="11EA75DF"/>
    <w:rsid w:val="12896427"/>
    <w:rsid w:val="1295185D"/>
    <w:rsid w:val="129A5D7C"/>
    <w:rsid w:val="12AF41DF"/>
    <w:rsid w:val="12C624DB"/>
    <w:rsid w:val="12F47048"/>
    <w:rsid w:val="13001549"/>
    <w:rsid w:val="131B1B12"/>
    <w:rsid w:val="136A730B"/>
    <w:rsid w:val="137D5290"/>
    <w:rsid w:val="1457788F"/>
    <w:rsid w:val="146975C2"/>
    <w:rsid w:val="149D5F32"/>
    <w:rsid w:val="14D94E49"/>
    <w:rsid w:val="14DB226E"/>
    <w:rsid w:val="14E43B91"/>
    <w:rsid w:val="14FC635E"/>
    <w:rsid w:val="152C12B6"/>
    <w:rsid w:val="15363948"/>
    <w:rsid w:val="15393935"/>
    <w:rsid w:val="155E4E4E"/>
    <w:rsid w:val="15B42D93"/>
    <w:rsid w:val="15C030DB"/>
    <w:rsid w:val="15FA2BC8"/>
    <w:rsid w:val="15FC399F"/>
    <w:rsid w:val="160E65C0"/>
    <w:rsid w:val="168D3A3C"/>
    <w:rsid w:val="16BF34C9"/>
    <w:rsid w:val="16FF3E93"/>
    <w:rsid w:val="178A7F7B"/>
    <w:rsid w:val="17A21261"/>
    <w:rsid w:val="17A70B2D"/>
    <w:rsid w:val="18116229"/>
    <w:rsid w:val="187327BD"/>
    <w:rsid w:val="187622AE"/>
    <w:rsid w:val="18890233"/>
    <w:rsid w:val="190F0FBB"/>
    <w:rsid w:val="193261D5"/>
    <w:rsid w:val="19404D95"/>
    <w:rsid w:val="199724DC"/>
    <w:rsid w:val="19D96F98"/>
    <w:rsid w:val="1A051B3B"/>
    <w:rsid w:val="1A0C7818"/>
    <w:rsid w:val="1A3667F2"/>
    <w:rsid w:val="1A5064FB"/>
    <w:rsid w:val="1B1C0EEA"/>
    <w:rsid w:val="1B283D33"/>
    <w:rsid w:val="1B7D0C31"/>
    <w:rsid w:val="1B8D003A"/>
    <w:rsid w:val="1B8F3DB2"/>
    <w:rsid w:val="1B910BFE"/>
    <w:rsid w:val="1BCF41AF"/>
    <w:rsid w:val="1BFE4A94"/>
    <w:rsid w:val="1C4E1E20"/>
    <w:rsid w:val="1C8A0083"/>
    <w:rsid w:val="1CF32506"/>
    <w:rsid w:val="1CF77E61"/>
    <w:rsid w:val="1D2B7B0B"/>
    <w:rsid w:val="1D392227"/>
    <w:rsid w:val="1D3F5364"/>
    <w:rsid w:val="1D501C9D"/>
    <w:rsid w:val="1DA47089"/>
    <w:rsid w:val="1DE026A3"/>
    <w:rsid w:val="1DFB128B"/>
    <w:rsid w:val="1E0068A1"/>
    <w:rsid w:val="1E5E181A"/>
    <w:rsid w:val="1E616D7F"/>
    <w:rsid w:val="1EB853CE"/>
    <w:rsid w:val="1F1069C9"/>
    <w:rsid w:val="1F36755F"/>
    <w:rsid w:val="1F3A2287"/>
    <w:rsid w:val="1F3D3B25"/>
    <w:rsid w:val="1F7E2174"/>
    <w:rsid w:val="1F7F5EEC"/>
    <w:rsid w:val="1F933745"/>
    <w:rsid w:val="1FD66426"/>
    <w:rsid w:val="209634ED"/>
    <w:rsid w:val="20C644A2"/>
    <w:rsid w:val="20DA59F7"/>
    <w:rsid w:val="21311468"/>
    <w:rsid w:val="21694BF3"/>
    <w:rsid w:val="217A63C6"/>
    <w:rsid w:val="217E2424"/>
    <w:rsid w:val="21843C8D"/>
    <w:rsid w:val="21967F35"/>
    <w:rsid w:val="219B29E3"/>
    <w:rsid w:val="21CF782C"/>
    <w:rsid w:val="220D7240"/>
    <w:rsid w:val="22143E47"/>
    <w:rsid w:val="221768AF"/>
    <w:rsid w:val="22180001"/>
    <w:rsid w:val="225C6BC5"/>
    <w:rsid w:val="22995A10"/>
    <w:rsid w:val="22BA7DA5"/>
    <w:rsid w:val="237D224F"/>
    <w:rsid w:val="2393640A"/>
    <w:rsid w:val="23AC2B31"/>
    <w:rsid w:val="24457704"/>
    <w:rsid w:val="24533503"/>
    <w:rsid w:val="2480073C"/>
    <w:rsid w:val="248301E8"/>
    <w:rsid w:val="24884DCE"/>
    <w:rsid w:val="248C70E1"/>
    <w:rsid w:val="24BB1774"/>
    <w:rsid w:val="24BE1264"/>
    <w:rsid w:val="25182FA4"/>
    <w:rsid w:val="251B0465"/>
    <w:rsid w:val="263603F8"/>
    <w:rsid w:val="26E72CF4"/>
    <w:rsid w:val="27133AE9"/>
    <w:rsid w:val="273623EB"/>
    <w:rsid w:val="273D0B66"/>
    <w:rsid w:val="27554102"/>
    <w:rsid w:val="27B743A2"/>
    <w:rsid w:val="27B905A9"/>
    <w:rsid w:val="28086376"/>
    <w:rsid w:val="280A3E3D"/>
    <w:rsid w:val="28F2659B"/>
    <w:rsid w:val="2992210E"/>
    <w:rsid w:val="29B438A7"/>
    <w:rsid w:val="29C83EC1"/>
    <w:rsid w:val="29CE019B"/>
    <w:rsid w:val="2A4D1005"/>
    <w:rsid w:val="2A555EA3"/>
    <w:rsid w:val="2A64465C"/>
    <w:rsid w:val="2A6D3510"/>
    <w:rsid w:val="2A726C79"/>
    <w:rsid w:val="2AE5579D"/>
    <w:rsid w:val="2AEC0CB5"/>
    <w:rsid w:val="2AEF3F25"/>
    <w:rsid w:val="2B1C6CE5"/>
    <w:rsid w:val="2BC37160"/>
    <w:rsid w:val="2BE5357A"/>
    <w:rsid w:val="2C4B4786"/>
    <w:rsid w:val="2C4E2ECE"/>
    <w:rsid w:val="2C553447"/>
    <w:rsid w:val="2C66335D"/>
    <w:rsid w:val="2D371BB4"/>
    <w:rsid w:val="2D9D7BD5"/>
    <w:rsid w:val="2DC9216D"/>
    <w:rsid w:val="2DE169BE"/>
    <w:rsid w:val="2E00644A"/>
    <w:rsid w:val="2E206AEC"/>
    <w:rsid w:val="2E5839B6"/>
    <w:rsid w:val="2E746C6C"/>
    <w:rsid w:val="2EEA4413"/>
    <w:rsid w:val="2F6767FD"/>
    <w:rsid w:val="2F9F469B"/>
    <w:rsid w:val="2FAD2601"/>
    <w:rsid w:val="2FEC2378"/>
    <w:rsid w:val="2FF26266"/>
    <w:rsid w:val="3062519A"/>
    <w:rsid w:val="30BD0622"/>
    <w:rsid w:val="30D20571"/>
    <w:rsid w:val="30EF1562"/>
    <w:rsid w:val="31180A0B"/>
    <w:rsid w:val="31CD723C"/>
    <w:rsid w:val="32096215"/>
    <w:rsid w:val="325D20BC"/>
    <w:rsid w:val="32905E52"/>
    <w:rsid w:val="32A23A72"/>
    <w:rsid w:val="32A93A25"/>
    <w:rsid w:val="32CD7482"/>
    <w:rsid w:val="3313201A"/>
    <w:rsid w:val="3330332D"/>
    <w:rsid w:val="336876DB"/>
    <w:rsid w:val="33845A2F"/>
    <w:rsid w:val="33B83428"/>
    <w:rsid w:val="33CD6DCE"/>
    <w:rsid w:val="33E67E90"/>
    <w:rsid w:val="33F00D0E"/>
    <w:rsid w:val="33FC3E4D"/>
    <w:rsid w:val="340A1DD0"/>
    <w:rsid w:val="34120C85"/>
    <w:rsid w:val="34A92E79"/>
    <w:rsid w:val="34AC10D9"/>
    <w:rsid w:val="34BB131C"/>
    <w:rsid w:val="34CC177B"/>
    <w:rsid w:val="34D072EB"/>
    <w:rsid w:val="35C661CB"/>
    <w:rsid w:val="361B02C4"/>
    <w:rsid w:val="361C403D"/>
    <w:rsid w:val="361C5FF4"/>
    <w:rsid w:val="36704443"/>
    <w:rsid w:val="36F200D8"/>
    <w:rsid w:val="36FD3E6E"/>
    <w:rsid w:val="374B5FF6"/>
    <w:rsid w:val="376D2DA2"/>
    <w:rsid w:val="37732199"/>
    <w:rsid w:val="37983B97"/>
    <w:rsid w:val="37A42346"/>
    <w:rsid w:val="38821AF2"/>
    <w:rsid w:val="388D1222"/>
    <w:rsid w:val="38B94930"/>
    <w:rsid w:val="38F95540"/>
    <w:rsid w:val="391159AF"/>
    <w:rsid w:val="391B387E"/>
    <w:rsid w:val="3929719C"/>
    <w:rsid w:val="39534219"/>
    <w:rsid w:val="395F4958"/>
    <w:rsid w:val="39674F51"/>
    <w:rsid w:val="39EC3D26"/>
    <w:rsid w:val="3A001A1F"/>
    <w:rsid w:val="3A9A3BD3"/>
    <w:rsid w:val="3AC32575"/>
    <w:rsid w:val="3ACC4283"/>
    <w:rsid w:val="3AD44EE6"/>
    <w:rsid w:val="3B201ED9"/>
    <w:rsid w:val="3B6A13A1"/>
    <w:rsid w:val="3B9D5C20"/>
    <w:rsid w:val="3BB450C0"/>
    <w:rsid w:val="3BD17D95"/>
    <w:rsid w:val="3BFF68A2"/>
    <w:rsid w:val="3CA64660"/>
    <w:rsid w:val="3CC33464"/>
    <w:rsid w:val="3CDE3DFA"/>
    <w:rsid w:val="3CE31410"/>
    <w:rsid w:val="3D143CBF"/>
    <w:rsid w:val="3D193084"/>
    <w:rsid w:val="3D271C45"/>
    <w:rsid w:val="3D354ABE"/>
    <w:rsid w:val="3D9A6638"/>
    <w:rsid w:val="3DA23079"/>
    <w:rsid w:val="3DB159B2"/>
    <w:rsid w:val="3DE051EE"/>
    <w:rsid w:val="3DE26D5B"/>
    <w:rsid w:val="3E171CB9"/>
    <w:rsid w:val="3E8339E3"/>
    <w:rsid w:val="3ECD05CA"/>
    <w:rsid w:val="3F4F1FFD"/>
    <w:rsid w:val="3F6727CC"/>
    <w:rsid w:val="3FB00DAD"/>
    <w:rsid w:val="3FC01EDD"/>
    <w:rsid w:val="40093884"/>
    <w:rsid w:val="401A339B"/>
    <w:rsid w:val="403C77B5"/>
    <w:rsid w:val="404448BC"/>
    <w:rsid w:val="405F2DDF"/>
    <w:rsid w:val="40722652"/>
    <w:rsid w:val="408834D2"/>
    <w:rsid w:val="40D45C40"/>
    <w:rsid w:val="41134EF5"/>
    <w:rsid w:val="413761CE"/>
    <w:rsid w:val="413D1A37"/>
    <w:rsid w:val="419158DF"/>
    <w:rsid w:val="41D028AB"/>
    <w:rsid w:val="41F36599"/>
    <w:rsid w:val="41FD4D22"/>
    <w:rsid w:val="42187DAE"/>
    <w:rsid w:val="421D53C4"/>
    <w:rsid w:val="423B584A"/>
    <w:rsid w:val="42BC2E2F"/>
    <w:rsid w:val="42CE0963"/>
    <w:rsid w:val="42EE5221"/>
    <w:rsid w:val="43364990"/>
    <w:rsid w:val="434F77FF"/>
    <w:rsid w:val="4357571B"/>
    <w:rsid w:val="437259B2"/>
    <w:rsid w:val="43755CA2"/>
    <w:rsid w:val="43866F99"/>
    <w:rsid w:val="43916485"/>
    <w:rsid w:val="43F72B79"/>
    <w:rsid w:val="4413115F"/>
    <w:rsid w:val="44205E80"/>
    <w:rsid w:val="44640CB7"/>
    <w:rsid w:val="447A4D50"/>
    <w:rsid w:val="447D039C"/>
    <w:rsid w:val="449A3645"/>
    <w:rsid w:val="44B03FCE"/>
    <w:rsid w:val="44D73F50"/>
    <w:rsid w:val="44F32477"/>
    <w:rsid w:val="450B0CFF"/>
    <w:rsid w:val="451253EA"/>
    <w:rsid w:val="45181E73"/>
    <w:rsid w:val="451E56DB"/>
    <w:rsid w:val="454B049A"/>
    <w:rsid w:val="45905EAD"/>
    <w:rsid w:val="45D264C6"/>
    <w:rsid w:val="468477C0"/>
    <w:rsid w:val="468C0D6B"/>
    <w:rsid w:val="46923DF0"/>
    <w:rsid w:val="46B61944"/>
    <w:rsid w:val="46C21C73"/>
    <w:rsid w:val="47136D96"/>
    <w:rsid w:val="47961C9D"/>
    <w:rsid w:val="47AB23EF"/>
    <w:rsid w:val="47BE4673"/>
    <w:rsid w:val="47FB61A8"/>
    <w:rsid w:val="48221986"/>
    <w:rsid w:val="48401E0D"/>
    <w:rsid w:val="484339CE"/>
    <w:rsid w:val="489D2DBB"/>
    <w:rsid w:val="48BF488B"/>
    <w:rsid w:val="491C0184"/>
    <w:rsid w:val="497A68DE"/>
    <w:rsid w:val="49995C78"/>
    <w:rsid w:val="49E8054F"/>
    <w:rsid w:val="4A5018DB"/>
    <w:rsid w:val="4A633B90"/>
    <w:rsid w:val="4A92068D"/>
    <w:rsid w:val="4ACC0B18"/>
    <w:rsid w:val="4B010734"/>
    <w:rsid w:val="4B272E10"/>
    <w:rsid w:val="4B5E0F27"/>
    <w:rsid w:val="4B63653E"/>
    <w:rsid w:val="4B893ACB"/>
    <w:rsid w:val="4B8D4B24"/>
    <w:rsid w:val="4BEB02E1"/>
    <w:rsid w:val="4C147838"/>
    <w:rsid w:val="4C5E6D05"/>
    <w:rsid w:val="4CA02E7A"/>
    <w:rsid w:val="4CE4720A"/>
    <w:rsid w:val="4CF533DF"/>
    <w:rsid w:val="4CFF2296"/>
    <w:rsid w:val="4D021D86"/>
    <w:rsid w:val="4D0D37D7"/>
    <w:rsid w:val="4D111FCA"/>
    <w:rsid w:val="4D710BC6"/>
    <w:rsid w:val="4D830B29"/>
    <w:rsid w:val="4D93478D"/>
    <w:rsid w:val="4DC46494"/>
    <w:rsid w:val="4E0F6509"/>
    <w:rsid w:val="4E157897"/>
    <w:rsid w:val="4E1C11F2"/>
    <w:rsid w:val="4E1F3561"/>
    <w:rsid w:val="4E3A5E18"/>
    <w:rsid w:val="4E4A12EF"/>
    <w:rsid w:val="4E5B79A0"/>
    <w:rsid w:val="4EB96475"/>
    <w:rsid w:val="4F0470B7"/>
    <w:rsid w:val="4FEE214E"/>
    <w:rsid w:val="4FF04118"/>
    <w:rsid w:val="502508BB"/>
    <w:rsid w:val="50490B56"/>
    <w:rsid w:val="504E3EDE"/>
    <w:rsid w:val="505A6E2D"/>
    <w:rsid w:val="509425AA"/>
    <w:rsid w:val="50971392"/>
    <w:rsid w:val="509A417D"/>
    <w:rsid w:val="50B05655"/>
    <w:rsid w:val="50C26FEA"/>
    <w:rsid w:val="50D43A3A"/>
    <w:rsid w:val="511931FB"/>
    <w:rsid w:val="514E7348"/>
    <w:rsid w:val="51610292"/>
    <w:rsid w:val="5167040A"/>
    <w:rsid w:val="51736DAF"/>
    <w:rsid w:val="518630E1"/>
    <w:rsid w:val="51CB07CC"/>
    <w:rsid w:val="520019A3"/>
    <w:rsid w:val="52172C31"/>
    <w:rsid w:val="526112FD"/>
    <w:rsid w:val="528B1ED6"/>
    <w:rsid w:val="52A26FD5"/>
    <w:rsid w:val="52CD0741"/>
    <w:rsid w:val="52F757BE"/>
    <w:rsid w:val="531E0F9C"/>
    <w:rsid w:val="531E4353"/>
    <w:rsid w:val="53527C74"/>
    <w:rsid w:val="5353545C"/>
    <w:rsid w:val="535F3A8F"/>
    <w:rsid w:val="53707486"/>
    <w:rsid w:val="53BF452D"/>
    <w:rsid w:val="53E379D9"/>
    <w:rsid w:val="53E73A84"/>
    <w:rsid w:val="54491FDE"/>
    <w:rsid w:val="54A43723"/>
    <w:rsid w:val="54E56216"/>
    <w:rsid w:val="550527CA"/>
    <w:rsid w:val="554F7B33"/>
    <w:rsid w:val="55676C2B"/>
    <w:rsid w:val="55A42FE1"/>
    <w:rsid w:val="55F73A99"/>
    <w:rsid w:val="5684380C"/>
    <w:rsid w:val="568E3043"/>
    <w:rsid w:val="56C409D0"/>
    <w:rsid w:val="56D03D7D"/>
    <w:rsid w:val="56D24578"/>
    <w:rsid w:val="571B7CCD"/>
    <w:rsid w:val="576A3305"/>
    <w:rsid w:val="576C677A"/>
    <w:rsid w:val="576F626A"/>
    <w:rsid w:val="579923B0"/>
    <w:rsid w:val="57A44166"/>
    <w:rsid w:val="57C2283E"/>
    <w:rsid w:val="58020E8D"/>
    <w:rsid w:val="583D72F0"/>
    <w:rsid w:val="58DD0FB2"/>
    <w:rsid w:val="592E180D"/>
    <w:rsid w:val="59442F30"/>
    <w:rsid w:val="596B0920"/>
    <w:rsid w:val="59944238"/>
    <w:rsid w:val="59B06BF2"/>
    <w:rsid w:val="59D2663D"/>
    <w:rsid w:val="59D40607"/>
    <w:rsid w:val="59E30E53"/>
    <w:rsid w:val="59FE06FB"/>
    <w:rsid w:val="5A2B512E"/>
    <w:rsid w:val="5A47702B"/>
    <w:rsid w:val="5A4E660B"/>
    <w:rsid w:val="5A7140A7"/>
    <w:rsid w:val="5AB3021C"/>
    <w:rsid w:val="5AC27E15"/>
    <w:rsid w:val="5B1B069A"/>
    <w:rsid w:val="5BCF3F2F"/>
    <w:rsid w:val="5BCF508C"/>
    <w:rsid w:val="5BED775E"/>
    <w:rsid w:val="5BFA1563"/>
    <w:rsid w:val="5C001B87"/>
    <w:rsid w:val="5C237623"/>
    <w:rsid w:val="5C256E88"/>
    <w:rsid w:val="5C4C0928"/>
    <w:rsid w:val="5C5E240A"/>
    <w:rsid w:val="5C757E7F"/>
    <w:rsid w:val="5D185E9D"/>
    <w:rsid w:val="5D2378DB"/>
    <w:rsid w:val="5D375134"/>
    <w:rsid w:val="5D7243BE"/>
    <w:rsid w:val="5DA46B6D"/>
    <w:rsid w:val="5DAA3B58"/>
    <w:rsid w:val="5E07324D"/>
    <w:rsid w:val="5E4F4700"/>
    <w:rsid w:val="5E541E91"/>
    <w:rsid w:val="5E564E88"/>
    <w:rsid w:val="5E824AD5"/>
    <w:rsid w:val="5EA306D2"/>
    <w:rsid w:val="5F394A09"/>
    <w:rsid w:val="5F4C7AD4"/>
    <w:rsid w:val="5F79179C"/>
    <w:rsid w:val="5F8276AB"/>
    <w:rsid w:val="5F947E34"/>
    <w:rsid w:val="5FA103C5"/>
    <w:rsid w:val="5FFA069B"/>
    <w:rsid w:val="600503C7"/>
    <w:rsid w:val="600B673E"/>
    <w:rsid w:val="601C6864"/>
    <w:rsid w:val="60483ABE"/>
    <w:rsid w:val="60575AEE"/>
    <w:rsid w:val="6074044E"/>
    <w:rsid w:val="607E4D4A"/>
    <w:rsid w:val="607E64F0"/>
    <w:rsid w:val="60837FEB"/>
    <w:rsid w:val="60ED52BD"/>
    <w:rsid w:val="61007F33"/>
    <w:rsid w:val="610C5A2E"/>
    <w:rsid w:val="61534507"/>
    <w:rsid w:val="615F10FE"/>
    <w:rsid w:val="61646714"/>
    <w:rsid w:val="61860438"/>
    <w:rsid w:val="620D44CC"/>
    <w:rsid w:val="62145252"/>
    <w:rsid w:val="621D3F2C"/>
    <w:rsid w:val="626764BC"/>
    <w:rsid w:val="6287090C"/>
    <w:rsid w:val="62AE2B23"/>
    <w:rsid w:val="62C47C8A"/>
    <w:rsid w:val="62D82F16"/>
    <w:rsid w:val="62E00FBF"/>
    <w:rsid w:val="63381577"/>
    <w:rsid w:val="638E5CCA"/>
    <w:rsid w:val="639A5AE0"/>
    <w:rsid w:val="63C246B8"/>
    <w:rsid w:val="63C57949"/>
    <w:rsid w:val="643B7C00"/>
    <w:rsid w:val="648F3AA8"/>
    <w:rsid w:val="64DB4C47"/>
    <w:rsid w:val="65066E2E"/>
    <w:rsid w:val="65566374"/>
    <w:rsid w:val="65DF0A5F"/>
    <w:rsid w:val="65E87914"/>
    <w:rsid w:val="66432D9C"/>
    <w:rsid w:val="66455734"/>
    <w:rsid w:val="66630D48"/>
    <w:rsid w:val="67226E55"/>
    <w:rsid w:val="67241AA7"/>
    <w:rsid w:val="67284039"/>
    <w:rsid w:val="672A3F5C"/>
    <w:rsid w:val="673774CB"/>
    <w:rsid w:val="67DD2D7C"/>
    <w:rsid w:val="67F73E3E"/>
    <w:rsid w:val="67FD341E"/>
    <w:rsid w:val="681662CF"/>
    <w:rsid w:val="6838538E"/>
    <w:rsid w:val="68B82A0E"/>
    <w:rsid w:val="68FE4BA7"/>
    <w:rsid w:val="68FF3F18"/>
    <w:rsid w:val="695452C0"/>
    <w:rsid w:val="69E8517D"/>
    <w:rsid w:val="69F36887"/>
    <w:rsid w:val="69F60125"/>
    <w:rsid w:val="6A6B466F"/>
    <w:rsid w:val="6A716BB4"/>
    <w:rsid w:val="6A8B30C1"/>
    <w:rsid w:val="6ACB2A98"/>
    <w:rsid w:val="6ACE58A4"/>
    <w:rsid w:val="6AD84E8B"/>
    <w:rsid w:val="6AE76DF3"/>
    <w:rsid w:val="6B321631"/>
    <w:rsid w:val="6B5F54AE"/>
    <w:rsid w:val="6B6130A0"/>
    <w:rsid w:val="6BB44ED4"/>
    <w:rsid w:val="6BBD6ED7"/>
    <w:rsid w:val="6BCF1867"/>
    <w:rsid w:val="6C5B42FE"/>
    <w:rsid w:val="6CA331A0"/>
    <w:rsid w:val="6CA976D1"/>
    <w:rsid w:val="6CE607D0"/>
    <w:rsid w:val="6CEE3336"/>
    <w:rsid w:val="6D1D230C"/>
    <w:rsid w:val="6D323B6A"/>
    <w:rsid w:val="6D836174"/>
    <w:rsid w:val="6DBD51C9"/>
    <w:rsid w:val="6DC5053A"/>
    <w:rsid w:val="6DD020E1"/>
    <w:rsid w:val="6DEA7FA1"/>
    <w:rsid w:val="6E381E17"/>
    <w:rsid w:val="6E4D5C73"/>
    <w:rsid w:val="6E502D20"/>
    <w:rsid w:val="6E587601"/>
    <w:rsid w:val="6E9B4894"/>
    <w:rsid w:val="6ECB7DD2"/>
    <w:rsid w:val="6EE91ECE"/>
    <w:rsid w:val="6F10666A"/>
    <w:rsid w:val="6F811AC9"/>
    <w:rsid w:val="700B64D5"/>
    <w:rsid w:val="70131A31"/>
    <w:rsid w:val="70141305"/>
    <w:rsid w:val="707D6EAA"/>
    <w:rsid w:val="70974410"/>
    <w:rsid w:val="70E707C8"/>
    <w:rsid w:val="70F03B20"/>
    <w:rsid w:val="712A5284"/>
    <w:rsid w:val="71306613"/>
    <w:rsid w:val="715F2A54"/>
    <w:rsid w:val="717E2EDA"/>
    <w:rsid w:val="71AB7A47"/>
    <w:rsid w:val="72235B14"/>
    <w:rsid w:val="728D259C"/>
    <w:rsid w:val="72A9667D"/>
    <w:rsid w:val="72B3358B"/>
    <w:rsid w:val="72B6712F"/>
    <w:rsid w:val="72CE60E3"/>
    <w:rsid w:val="72ED78CA"/>
    <w:rsid w:val="72FB2495"/>
    <w:rsid w:val="730E3E44"/>
    <w:rsid w:val="730E4732"/>
    <w:rsid w:val="73155AC0"/>
    <w:rsid w:val="732301DD"/>
    <w:rsid w:val="733A6CBD"/>
    <w:rsid w:val="738F0591"/>
    <w:rsid w:val="73C6500C"/>
    <w:rsid w:val="73C92407"/>
    <w:rsid w:val="73E223A7"/>
    <w:rsid w:val="73EF4563"/>
    <w:rsid w:val="740A6CA7"/>
    <w:rsid w:val="74176058"/>
    <w:rsid w:val="743106D8"/>
    <w:rsid w:val="7443172F"/>
    <w:rsid w:val="7463285B"/>
    <w:rsid w:val="74675EA7"/>
    <w:rsid w:val="748051BB"/>
    <w:rsid w:val="74B17A6A"/>
    <w:rsid w:val="74CC3179"/>
    <w:rsid w:val="74E10D62"/>
    <w:rsid w:val="74F040EF"/>
    <w:rsid w:val="75063912"/>
    <w:rsid w:val="751D2A0A"/>
    <w:rsid w:val="754E0E15"/>
    <w:rsid w:val="757C2B81"/>
    <w:rsid w:val="75954C96"/>
    <w:rsid w:val="75DB4D9F"/>
    <w:rsid w:val="75EE3209"/>
    <w:rsid w:val="764346F2"/>
    <w:rsid w:val="76564834"/>
    <w:rsid w:val="76B949B4"/>
    <w:rsid w:val="76CD0666"/>
    <w:rsid w:val="76D8308D"/>
    <w:rsid w:val="76F105F2"/>
    <w:rsid w:val="779A2A38"/>
    <w:rsid w:val="77A86B78"/>
    <w:rsid w:val="78006D3F"/>
    <w:rsid w:val="78093BD2"/>
    <w:rsid w:val="78810970"/>
    <w:rsid w:val="78A62DB4"/>
    <w:rsid w:val="78F9553C"/>
    <w:rsid w:val="790972CC"/>
    <w:rsid w:val="79517126"/>
    <w:rsid w:val="79AF5B6F"/>
    <w:rsid w:val="79B17BC5"/>
    <w:rsid w:val="79CC49FF"/>
    <w:rsid w:val="7A1E3999"/>
    <w:rsid w:val="7A434CC1"/>
    <w:rsid w:val="7A7A445B"/>
    <w:rsid w:val="7AE8798A"/>
    <w:rsid w:val="7B95154C"/>
    <w:rsid w:val="7BBD6CF5"/>
    <w:rsid w:val="7BF46E3B"/>
    <w:rsid w:val="7C53208D"/>
    <w:rsid w:val="7C7C44BA"/>
    <w:rsid w:val="7C8617DD"/>
    <w:rsid w:val="7CA659DB"/>
    <w:rsid w:val="7CB77BE8"/>
    <w:rsid w:val="7DA95783"/>
    <w:rsid w:val="7DAF48C5"/>
    <w:rsid w:val="7DD87E16"/>
    <w:rsid w:val="7DFF1847"/>
    <w:rsid w:val="7E030AED"/>
    <w:rsid w:val="7E357629"/>
    <w:rsid w:val="7E4436FD"/>
    <w:rsid w:val="7E6701D1"/>
    <w:rsid w:val="7E7F4735"/>
    <w:rsid w:val="7E9E2E0E"/>
    <w:rsid w:val="7ECA758D"/>
    <w:rsid w:val="7EE747B5"/>
    <w:rsid w:val="7EEC1DCB"/>
    <w:rsid w:val="7F475253"/>
    <w:rsid w:val="7F67412D"/>
    <w:rsid w:val="7F6F6188"/>
    <w:rsid w:val="7F73429A"/>
    <w:rsid w:val="7FD30895"/>
    <w:rsid w:val="7FF32CE5"/>
    <w:rsid w:val="7FF8479F"/>
    <w:rsid w:val="BFDFAC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2"/>
      <w:szCs w:val="22"/>
      <w:lang w:val="en-US" w:eastAsia="en-US" w:bidi="ar-SA"/>
    </w:r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widowControl/>
      <w:spacing w:before="100" w:beforeAutospacing="1" w:after="100" w:afterAutospacing="1"/>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able Text"/>
    <w:basedOn w:val="1"/>
    <w:semiHidden/>
    <w:qFormat/>
    <w:uiPriority w:val="0"/>
    <w:rPr>
      <w:rFonts w:ascii="宋体" w:hAnsi="宋体" w:eastAsia="宋体" w:cs="宋体"/>
      <w:sz w:val="22"/>
      <w:szCs w:val="22"/>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 w:type="character" w:customStyle="1" w:styleId="13">
    <w:name w:val="font31"/>
    <w:basedOn w:val="10"/>
    <w:qFormat/>
    <w:uiPriority w:val="0"/>
    <w:rPr>
      <w:rFonts w:hint="eastAsia" w:ascii="宋体" w:hAnsi="宋体" w:eastAsia="宋体" w:cs="宋体"/>
      <w:color w:val="000000"/>
      <w:sz w:val="22"/>
      <w:szCs w:val="22"/>
      <w:u w:val="none"/>
    </w:rPr>
  </w:style>
  <w:style w:type="character" w:customStyle="1" w:styleId="14">
    <w:name w:val="font41"/>
    <w:basedOn w:val="10"/>
    <w:qFormat/>
    <w:uiPriority w:val="0"/>
    <w:rPr>
      <w:rFonts w:hint="eastAsia" w:ascii="宋体" w:hAnsi="宋体" w:eastAsia="宋体" w:cs="宋体"/>
      <w:b/>
      <w:bCs/>
      <w:color w:val="000000"/>
      <w:sz w:val="22"/>
      <w:szCs w:val="22"/>
      <w:u w:val="none"/>
    </w:rPr>
  </w:style>
  <w:style w:type="character" w:customStyle="1" w:styleId="15">
    <w:name w:val="font21"/>
    <w:basedOn w:val="10"/>
    <w:qFormat/>
    <w:uiPriority w:val="0"/>
    <w:rPr>
      <w:rFonts w:hint="eastAsia" w:ascii="宋体" w:hAnsi="宋体" w:eastAsia="宋体" w:cs="宋体"/>
      <w:color w:val="000000"/>
      <w:sz w:val="22"/>
      <w:szCs w:val="22"/>
      <w:u w:val="none"/>
    </w:rPr>
  </w:style>
  <w:style w:type="character" w:customStyle="1" w:styleId="16">
    <w:name w:val="font81"/>
    <w:basedOn w:val="10"/>
    <w:qFormat/>
    <w:uiPriority w:val="0"/>
    <w:rPr>
      <w:rFonts w:hint="eastAsia" w:ascii="宋体" w:hAnsi="宋体" w:eastAsia="宋体" w:cs="宋体"/>
      <w:b/>
      <w:bCs/>
      <w:color w:val="000000"/>
      <w:sz w:val="22"/>
      <w:szCs w:val="22"/>
      <w:u w:val="none"/>
    </w:rPr>
  </w:style>
  <w:style w:type="character" w:customStyle="1" w:styleId="17">
    <w:name w:val="font61"/>
    <w:basedOn w:val="10"/>
    <w:qFormat/>
    <w:uiPriority w:val="0"/>
    <w:rPr>
      <w:rFonts w:hint="eastAsia" w:ascii="宋体" w:hAnsi="宋体" w:eastAsia="宋体" w:cs="宋体"/>
      <w:color w:val="FF0000"/>
      <w:sz w:val="22"/>
      <w:szCs w:val="22"/>
      <w:u w:val="none"/>
    </w:rPr>
  </w:style>
  <w:style w:type="character" w:customStyle="1" w:styleId="18">
    <w:name w:val="font01"/>
    <w:basedOn w:val="10"/>
    <w:qFormat/>
    <w:uiPriority w:val="0"/>
    <w:rPr>
      <w:rFonts w:hint="eastAsia" w:ascii="宋体" w:hAnsi="宋体" w:eastAsia="宋体" w:cs="宋体"/>
      <w:color w:val="000000"/>
      <w:sz w:val="22"/>
      <w:szCs w:val="22"/>
      <w:u w:val="none"/>
    </w:rPr>
  </w:style>
  <w:style w:type="character" w:customStyle="1" w:styleId="19">
    <w:name w:val="font91"/>
    <w:basedOn w:val="10"/>
    <w:qFormat/>
    <w:uiPriority w:val="0"/>
    <w:rPr>
      <w:rFonts w:hint="eastAsia" w:ascii="宋体" w:hAnsi="宋体" w:eastAsia="宋体" w:cs="宋体"/>
      <w:strike/>
      <w:color w:val="000000"/>
      <w:sz w:val="22"/>
      <w:szCs w:val="22"/>
    </w:rPr>
  </w:style>
  <w:style w:type="character" w:customStyle="1" w:styleId="20">
    <w:name w:val="font101"/>
    <w:basedOn w:val="10"/>
    <w:qFormat/>
    <w:uiPriority w:val="0"/>
    <w:rPr>
      <w:rFonts w:hint="eastAsia" w:ascii="宋体" w:hAnsi="宋体" w:eastAsia="宋体" w:cs="宋体"/>
      <w:strike/>
      <w:color w:val="FF0000"/>
      <w:sz w:val="22"/>
      <w:szCs w:val="22"/>
    </w:rPr>
  </w:style>
  <w:style w:type="character" w:customStyle="1" w:styleId="21">
    <w:name w:val="font71"/>
    <w:basedOn w:val="10"/>
    <w:qFormat/>
    <w:uiPriority w:val="0"/>
    <w:rPr>
      <w:rFonts w:hint="eastAsia" w:ascii="宋体" w:hAnsi="宋体" w:eastAsia="宋体" w:cs="宋体"/>
      <w:color w:val="FF0000"/>
      <w:sz w:val="22"/>
      <w:szCs w:val="22"/>
      <w:u w:val="none"/>
    </w:rPr>
  </w:style>
  <w:style w:type="character" w:customStyle="1" w:styleId="22">
    <w:name w:val="font11"/>
    <w:basedOn w:val="10"/>
    <w:qFormat/>
    <w:uiPriority w:val="0"/>
    <w:rPr>
      <w:rFonts w:hint="eastAsia" w:ascii="宋体" w:hAnsi="宋体" w:eastAsia="宋体" w:cs="宋体"/>
      <w:color w:val="000000"/>
      <w:sz w:val="22"/>
      <w:szCs w:val="22"/>
      <w:u w:val="none"/>
    </w:rPr>
  </w:style>
  <w:style w:type="character" w:customStyle="1" w:styleId="23">
    <w:name w:val="font51"/>
    <w:basedOn w:val="10"/>
    <w:qFormat/>
    <w:uiPriority w:val="0"/>
    <w:rPr>
      <w:rFonts w:hint="eastAsia" w:ascii="宋体" w:hAnsi="宋体" w:eastAsia="宋体" w:cs="宋体"/>
      <w:color w:val="FF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7049</Words>
  <Characters>7354</Characters>
  <Lines>0</Lines>
  <Paragraphs>0</Paragraphs>
  <TotalTime>28</TotalTime>
  <ScaleCrop>false</ScaleCrop>
  <LinksUpToDate>false</LinksUpToDate>
  <CharactersWithSpaces>7370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2025-09-03T17:06:00Z</dcterms:created>
  <dc:creator>Administrator</dc:creator>
  <cp:lastModifiedBy>WLO</cp:lastModifiedBy>
  <dcterms:modified xsi:type="dcterms:W3CDTF">2026-05-28T07:32:16Z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eyJoZGlkIjoiOGUxNzZkMmQ3N2IyYzdlZDQxMzZlOTA3MjhlYmU3MTIiLCJ1c2VySWQiOiIxMTUzMDkzMDQ0In0=</vt:lpwstr>
  </property>
  <property fmtid="{D5CDD505-2E9C-101B-9397-08002B2CF9AE}" pid="4" name="ICV">
    <vt:lpwstr>2C4F571BBC794583AE0C0B62810C65B9_13</vt:lpwstr>
  </property>
</Properties>
</file>