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473D6B">
      <w:pPr>
        <w:jc w:val="center"/>
        <w:rPr>
          <w:rFonts w:ascii="宋体" w:hAnsi="宋体" w:cs="宋体"/>
          <w:b/>
          <w:bCs/>
          <w:sz w:val="32"/>
          <w:szCs w:val="32"/>
        </w:rPr>
      </w:pPr>
      <w:bookmarkStart w:id="0" w:name="_GoBack"/>
      <w:bookmarkEnd w:id="0"/>
      <w:r>
        <w:rPr>
          <w:rFonts w:hint="eastAsia" w:ascii="宋体" w:hAnsi="宋体" w:cs="宋体"/>
          <w:b/>
          <w:bCs/>
          <w:sz w:val="32"/>
          <w:szCs w:val="32"/>
        </w:rPr>
        <w:t>江西工业贸易职业技术学院</w:t>
      </w:r>
    </w:p>
    <w:p w14:paraId="51BCAA28">
      <w:pPr>
        <w:pStyle w:val="2"/>
        <w:jc w:val="center"/>
        <w:rPr>
          <w:rFonts w:hint="eastAsia" w:ascii="Times New Roman" w:hAnsi="Times New Roman" w:eastAsia="宋体" w:cs="Times New Roman"/>
          <w:color w:val="auto"/>
          <w:sz w:val="30"/>
          <w:szCs w:val="30"/>
          <w:lang w:val="en-US" w:eastAsia="zh-CN"/>
        </w:rPr>
      </w:pPr>
      <w:r>
        <w:rPr>
          <w:rFonts w:hint="eastAsia" w:ascii="Times New Roman" w:hAnsi="Times New Roman" w:eastAsia="宋体" w:cs="Times New Roman"/>
          <w:color w:val="auto"/>
          <w:sz w:val="30"/>
          <w:szCs w:val="30"/>
          <w:lang w:val="en-US" w:eastAsia="zh-CN"/>
        </w:rPr>
        <w:t>数据区防火墙设备、上网行为管理设备和负载均衡等三套设备的维护保养</w:t>
      </w:r>
    </w:p>
    <w:p w14:paraId="336583C8">
      <w:pPr>
        <w:pStyle w:val="2"/>
        <w:rPr>
          <w:sz w:val="32"/>
          <w:szCs w:val="32"/>
        </w:rPr>
      </w:pPr>
      <w:r>
        <w:rPr>
          <w:rFonts w:hint="eastAsia"/>
        </w:rPr>
        <w:t>一、供应商的资格要求</w:t>
      </w:r>
    </w:p>
    <w:p w14:paraId="588C9F28">
      <w:pPr>
        <w:pStyle w:val="3"/>
      </w:pPr>
      <w:r>
        <w:t>1.满足《中华人民共和国政府采购法》第二十二条规定：</w:t>
      </w:r>
    </w:p>
    <w:p w14:paraId="58BB784E">
      <w:pPr>
        <w:spacing w:line="360" w:lineRule="auto"/>
        <w:jc w:val="left"/>
        <w:rPr>
          <w:rFonts w:ascii="宋体" w:hAnsi="宋体" w:cs="宋体"/>
          <w:b/>
          <w:bCs/>
          <w:sz w:val="24"/>
        </w:rPr>
      </w:pPr>
      <w:r>
        <w:rPr>
          <w:rFonts w:hint="eastAsia" w:ascii="宋体" w:hAnsi="宋体" w:cs="宋体"/>
          <w:b/>
          <w:bCs/>
          <w:sz w:val="24"/>
        </w:rPr>
        <w:t>1.1具有独立承担民事责任的能力；</w:t>
      </w:r>
    </w:p>
    <w:p w14:paraId="051BD0ED">
      <w:pPr>
        <w:spacing w:line="360" w:lineRule="auto"/>
        <w:ind w:firstLine="420"/>
        <w:jc w:val="left"/>
        <w:rPr>
          <w:rFonts w:ascii="宋体" w:hAnsi="宋体" w:cs="宋体"/>
          <w:sz w:val="24"/>
        </w:rPr>
      </w:pPr>
      <w:r>
        <w:rPr>
          <w:rFonts w:hint="eastAsia" w:ascii="宋体" w:hAnsi="宋体" w:cs="宋体"/>
          <w:sz w:val="24"/>
        </w:rPr>
        <w:t>如供应商是企业的（包括合伙企业）应提供有效的“企业法人营业执照”或“营业执照”；如供应商是事业单位的应提供“事业单位法人证书”；如供应商是非企业专业服务机构的应提供执业许可证等证明文件；供应商是个体工商户的应提供有效的“个体工商户营业执照”、组织机构代码证证明文件（实行“统一社会信用代码”的不需单独提供组织机构代码证）；如供应商是自然人的，应提供有效的自然人的身份证明(中国公民)。</w:t>
      </w:r>
    </w:p>
    <w:p w14:paraId="0DA236A3">
      <w:pPr>
        <w:spacing w:line="360" w:lineRule="auto"/>
        <w:jc w:val="left"/>
        <w:rPr>
          <w:rFonts w:ascii="宋体" w:hAnsi="宋体" w:cs="宋体"/>
          <w:b/>
          <w:bCs/>
          <w:sz w:val="24"/>
        </w:rPr>
      </w:pPr>
      <w:r>
        <w:rPr>
          <w:rFonts w:hint="eastAsia" w:ascii="宋体" w:hAnsi="宋体" w:cs="宋体"/>
          <w:b/>
          <w:bCs/>
          <w:sz w:val="24"/>
        </w:rPr>
        <w:t>1.2具有履行合同所必需的设备和专业技术能力；</w:t>
      </w:r>
    </w:p>
    <w:p w14:paraId="5D920762">
      <w:pPr>
        <w:spacing w:line="360" w:lineRule="auto"/>
        <w:ind w:firstLine="420"/>
        <w:jc w:val="left"/>
        <w:rPr>
          <w:rFonts w:ascii="宋体" w:hAnsi="宋体" w:cs="宋体"/>
          <w:sz w:val="24"/>
        </w:rPr>
      </w:pPr>
      <w:r>
        <w:rPr>
          <w:rFonts w:hint="eastAsia" w:ascii="宋体" w:hAnsi="宋体" w:cs="宋体"/>
          <w:sz w:val="24"/>
        </w:rPr>
        <w:t>供应商提供具有履行合同所必需的设备和专业技术能力的承诺函。</w:t>
      </w:r>
    </w:p>
    <w:p w14:paraId="39F2110E">
      <w:pPr>
        <w:spacing w:line="360" w:lineRule="auto"/>
        <w:jc w:val="left"/>
        <w:rPr>
          <w:rFonts w:ascii="宋体" w:hAnsi="宋体" w:cs="宋体"/>
          <w:b/>
          <w:bCs/>
          <w:sz w:val="24"/>
        </w:rPr>
      </w:pPr>
      <w:r>
        <w:rPr>
          <w:rFonts w:hint="eastAsia" w:ascii="宋体" w:hAnsi="宋体" w:cs="宋体"/>
          <w:b/>
          <w:bCs/>
          <w:sz w:val="24"/>
        </w:rPr>
        <w:t>1.3有依法缴纳税收和社会保障资金的良好记录；</w:t>
      </w:r>
    </w:p>
    <w:p w14:paraId="441CF4A9">
      <w:pPr>
        <w:spacing w:line="360" w:lineRule="auto"/>
        <w:ind w:firstLine="420"/>
        <w:jc w:val="left"/>
        <w:rPr>
          <w:rFonts w:ascii="宋体" w:hAnsi="宋体" w:cs="宋体"/>
          <w:sz w:val="24"/>
        </w:rPr>
      </w:pPr>
      <w:r>
        <w:rPr>
          <w:rFonts w:hint="eastAsia" w:ascii="宋体" w:hAnsi="宋体" w:cs="宋体"/>
          <w:sz w:val="24"/>
        </w:rPr>
        <w:t>税务登记证（实行“统一社会信用代码”的不需单独提供）和竞价前六个月内任意一个月的企业缴税凭证或证明；</w:t>
      </w:r>
    </w:p>
    <w:p w14:paraId="2E97BBF2">
      <w:pPr>
        <w:spacing w:line="360" w:lineRule="auto"/>
        <w:jc w:val="left"/>
        <w:rPr>
          <w:rFonts w:ascii="宋体" w:hAnsi="宋体" w:cs="宋体"/>
          <w:b/>
          <w:bCs/>
          <w:sz w:val="24"/>
        </w:rPr>
      </w:pPr>
      <w:r>
        <w:rPr>
          <w:rFonts w:hint="eastAsia" w:ascii="宋体" w:hAnsi="宋体" w:cs="宋体"/>
          <w:sz w:val="24"/>
        </w:rPr>
        <w:t>竞价前六个月内任意一个月的缴纳社会保障资金的凭证或当地社会保障局出具的缴纳明细。依法免税或不需要缴纳社会保障资金的供应商，应当提供相关文件证明其依法免税或不需要缴纳社会保障资金。</w:t>
      </w:r>
    </w:p>
    <w:p w14:paraId="3CBEBDBC">
      <w:pPr>
        <w:spacing w:line="360" w:lineRule="auto"/>
        <w:jc w:val="left"/>
        <w:rPr>
          <w:rFonts w:ascii="宋体" w:hAnsi="宋体" w:cs="宋体"/>
          <w:b/>
          <w:bCs/>
          <w:sz w:val="24"/>
        </w:rPr>
      </w:pPr>
      <w:r>
        <w:rPr>
          <w:rFonts w:hint="eastAsia" w:ascii="宋体" w:hAnsi="宋体" w:cs="宋体"/>
          <w:b/>
          <w:bCs/>
          <w:sz w:val="24"/>
        </w:rPr>
        <w:t>1.4参加政府采购活动前三年内,在经营活动中没有重大违法记录；</w:t>
      </w:r>
    </w:p>
    <w:p w14:paraId="3F69AE9D">
      <w:pPr>
        <w:spacing w:line="360" w:lineRule="auto"/>
        <w:ind w:firstLine="420"/>
        <w:jc w:val="left"/>
        <w:rPr>
          <w:rFonts w:ascii="宋体" w:hAnsi="宋体" w:cs="宋体"/>
          <w:b/>
          <w:bCs/>
          <w:sz w:val="24"/>
        </w:rPr>
      </w:pPr>
      <w:r>
        <w:rPr>
          <w:rFonts w:hint="eastAsia" w:ascii="宋体" w:hAnsi="宋体" w:cs="宋体"/>
          <w:sz w:val="24"/>
        </w:rPr>
        <w:t>参加政府采购活动前三年内,在经营活动中没有重大违法记录承诺函；重大违法记录，是指供应商因违法经营受到刑事处罚或者责令停产停业、吊销许可证或者执照、较大罚款等行政处罚。</w:t>
      </w:r>
    </w:p>
    <w:p w14:paraId="57E0856A">
      <w:pPr>
        <w:spacing w:line="360" w:lineRule="auto"/>
        <w:jc w:val="left"/>
        <w:rPr>
          <w:rFonts w:ascii="宋体" w:hAnsi="宋体" w:cs="宋体"/>
          <w:sz w:val="24"/>
        </w:rPr>
      </w:pPr>
      <w:r>
        <w:rPr>
          <w:rFonts w:hint="eastAsia" w:ascii="宋体" w:hAnsi="宋体" w:cs="宋体"/>
          <w:b/>
          <w:bCs/>
          <w:sz w:val="24"/>
        </w:rPr>
        <w:t>1.5法律、行政法规规定的其他条件。</w:t>
      </w:r>
    </w:p>
    <w:p w14:paraId="32F76DB7">
      <w:pPr>
        <w:spacing w:line="360" w:lineRule="auto"/>
        <w:ind w:firstLine="420"/>
        <w:jc w:val="left"/>
        <w:rPr>
          <w:rFonts w:ascii="宋体" w:hAnsi="宋体" w:cs="宋体"/>
          <w:sz w:val="24"/>
        </w:rPr>
      </w:pPr>
      <w:r>
        <w:rPr>
          <w:rFonts w:hint="eastAsia" w:ascii="宋体" w:hAnsi="宋体" w:cs="宋体"/>
          <w:sz w:val="24"/>
        </w:rPr>
        <w:t>供应商被“信用中国”网站列入失信被执行人或重大税收违法案件当事人名单、或被“中国政府采购网”网站列入政府采购严重违法失信行为记录名单（处罚期限尚未届满的）的，不得参加本项目的政府采购活动。</w:t>
      </w:r>
    </w:p>
    <w:p w14:paraId="685E11BA">
      <w:pPr>
        <w:spacing w:line="360" w:lineRule="auto"/>
        <w:jc w:val="left"/>
        <w:rPr>
          <w:rFonts w:ascii="宋体" w:hAnsi="宋体" w:cs="宋体"/>
          <w:sz w:val="24"/>
        </w:rPr>
      </w:pPr>
      <w:r>
        <w:rPr>
          <w:rFonts w:hint="eastAsia" w:ascii="宋体" w:hAnsi="宋体" w:cs="宋体"/>
          <w:b/>
          <w:bCs/>
          <w:color w:val="000000"/>
          <w:kern w:val="0"/>
          <w:sz w:val="24"/>
        </w:rPr>
        <w:t>说明：</w:t>
      </w:r>
      <w:r>
        <w:rPr>
          <w:rFonts w:hint="eastAsia" w:ascii="宋体" w:hAnsi="宋体" w:cs="宋体"/>
          <w:sz w:val="24"/>
        </w:rPr>
        <w:t>提供相关网站截图。</w:t>
      </w:r>
    </w:p>
    <w:p w14:paraId="1265A2B0">
      <w:pPr>
        <w:spacing w:line="360" w:lineRule="auto"/>
        <w:jc w:val="left"/>
        <w:rPr>
          <w:rFonts w:ascii="宋体" w:hAnsi="宋体" w:cs="宋体"/>
          <w:sz w:val="24"/>
        </w:rPr>
      </w:pPr>
    </w:p>
    <w:p w14:paraId="07C968AD">
      <w:pPr>
        <w:pStyle w:val="2"/>
      </w:pPr>
      <w:r>
        <w:t>二、详细的技术要求</w:t>
      </w:r>
    </w:p>
    <w:p w14:paraId="60453749">
      <w:pPr>
        <w:pStyle w:val="3"/>
        <w:rPr>
          <w:b/>
          <w:bCs/>
        </w:rPr>
      </w:pPr>
      <w:r>
        <w:t>1、设备清单</w:t>
      </w:r>
    </w:p>
    <w:p w14:paraId="3E0F913E">
      <w:pPr>
        <w:widowControl/>
        <w:spacing w:line="288" w:lineRule="atLeast"/>
        <w:jc w:val="left"/>
        <w:rPr>
          <w:color w:val="1F2329"/>
          <w:sz w:val="19"/>
          <w:szCs w:val="19"/>
        </w:rPr>
      </w:pPr>
    </w:p>
    <w:tbl>
      <w:tblPr>
        <w:tblStyle w:val="8"/>
        <w:tblW w:w="9112" w:type="dxa"/>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025"/>
        <w:gridCol w:w="5528"/>
        <w:gridCol w:w="709"/>
        <w:gridCol w:w="850"/>
      </w:tblGrid>
      <w:tr w14:paraId="26EE4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blCellSpacing w:w="15" w:type="dxa"/>
          <w:jc w:val="center"/>
        </w:trPr>
        <w:tc>
          <w:tcPr>
            <w:tcW w:w="1980" w:type="dxa"/>
            <w:vAlign w:val="center"/>
          </w:tcPr>
          <w:p w14:paraId="333AE84C">
            <w:pPr>
              <w:widowControl/>
              <w:spacing w:line="288" w:lineRule="atLeast"/>
              <w:jc w:val="center"/>
              <w:rPr>
                <w:b/>
                <w:bCs/>
                <w:color w:val="1F2329"/>
                <w:sz w:val="24"/>
              </w:rPr>
            </w:pPr>
            <w:r>
              <w:rPr>
                <w:rFonts w:ascii="宋体" w:hAnsi="宋体" w:cs="宋体"/>
                <w:b/>
                <w:bCs/>
                <w:color w:val="1F2329"/>
                <w:kern w:val="0"/>
                <w:sz w:val="24"/>
                <w:lang w:bidi="ar"/>
              </w:rPr>
              <w:t>设备类别</w:t>
            </w:r>
          </w:p>
        </w:tc>
        <w:tc>
          <w:tcPr>
            <w:tcW w:w="5498" w:type="dxa"/>
            <w:vAlign w:val="center"/>
          </w:tcPr>
          <w:p w14:paraId="0F948D8F">
            <w:pPr>
              <w:widowControl/>
              <w:spacing w:line="288" w:lineRule="atLeast"/>
              <w:jc w:val="center"/>
              <w:rPr>
                <w:rFonts w:hint="default" w:eastAsia="宋体"/>
                <w:b/>
                <w:bCs/>
                <w:color w:val="1F2329"/>
                <w:sz w:val="24"/>
                <w:lang w:val="en-US" w:eastAsia="zh-CN"/>
              </w:rPr>
            </w:pPr>
            <w:r>
              <w:rPr>
                <w:rFonts w:hint="eastAsia" w:ascii="宋体" w:hAnsi="宋体" w:cs="宋体"/>
                <w:b/>
                <w:bCs/>
                <w:color w:val="1F2329"/>
                <w:kern w:val="0"/>
                <w:sz w:val="24"/>
                <w:lang w:val="en-US" w:eastAsia="zh-CN" w:bidi="ar"/>
              </w:rPr>
              <w:t>服务要求</w:t>
            </w:r>
          </w:p>
        </w:tc>
        <w:tc>
          <w:tcPr>
            <w:tcW w:w="679" w:type="dxa"/>
            <w:vAlign w:val="center"/>
          </w:tcPr>
          <w:p w14:paraId="1896B262">
            <w:pPr>
              <w:widowControl/>
              <w:spacing w:line="288" w:lineRule="atLeast"/>
              <w:jc w:val="center"/>
              <w:rPr>
                <w:b/>
                <w:bCs/>
                <w:color w:val="1F2329"/>
                <w:sz w:val="24"/>
              </w:rPr>
            </w:pPr>
            <w:r>
              <w:rPr>
                <w:rFonts w:ascii="宋体" w:hAnsi="宋体" w:cs="宋体"/>
                <w:b/>
                <w:bCs/>
                <w:color w:val="1F2329"/>
                <w:kern w:val="0"/>
                <w:sz w:val="24"/>
                <w:lang w:bidi="ar"/>
              </w:rPr>
              <w:t>数量</w:t>
            </w:r>
          </w:p>
        </w:tc>
        <w:tc>
          <w:tcPr>
            <w:tcW w:w="805" w:type="dxa"/>
            <w:vAlign w:val="center"/>
          </w:tcPr>
          <w:p w14:paraId="60E9F9E0">
            <w:pPr>
              <w:widowControl/>
              <w:spacing w:line="288" w:lineRule="atLeast"/>
              <w:jc w:val="center"/>
              <w:rPr>
                <w:b/>
                <w:bCs/>
                <w:color w:val="1F2329"/>
                <w:sz w:val="24"/>
              </w:rPr>
            </w:pPr>
            <w:r>
              <w:rPr>
                <w:rFonts w:ascii="宋体" w:hAnsi="宋体" w:cs="宋体"/>
                <w:b/>
                <w:bCs/>
                <w:color w:val="1F2329"/>
                <w:kern w:val="0"/>
                <w:sz w:val="24"/>
                <w:lang w:bidi="ar"/>
              </w:rPr>
              <w:t>单位</w:t>
            </w:r>
          </w:p>
        </w:tc>
      </w:tr>
      <w:tr w14:paraId="4558D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15" w:type="dxa"/>
          <w:jc w:val="center"/>
        </w:trPr>
        <w:tc>
          <w:tcPr>
            <w:tcW w:w="1980" w:type="dxa"/>
            <w:vAlign w:val="center"/>
          </w:tcPr>
          <w:p w14:paraId="147F6996">
            <w:pPr>
              <w:widowControl/>
              <w:spacing w:line="288" w:lineRule="atLeast"/>
              <w:jc w:val="left"/>
              <w:rPr>
                <w:color w:val="1F2329"/>
                <w:sz w:val="24"/>
              </w:rPr>
            </w:pPr>
            <w:r>
              <w:rPr>
                <w:color w:val="1F2329"/>
                <w:sz w:val="24"/>
              </w:rPr>
              <w:t>出口负载均衡设备</w:t>
            </w:r>
          </w:p>
        </w:tc>
        <w:tc>
          <w:tcPr>
            <w:tcW w:w="5498" w:type="dxa"/>
            <w:vAlign w:val="center"/>
          </w:tcPr>
          <w:p w14:paraId="7882E6E9">
            <w:pPr>
              <w:widowControl/>
              <w:spacing w:line="288" w:lineRule="atLeast"/>
              <w:jc w:val="left"/>
              <w:rPr>
                <w:rFonts w:hint="eastAsia"/>
                <w:color w:val="1F2329"/>
                <w:sz w:val="24"/>
              </w:rPr>
            </w:pPr>
            <w:r>
              <w:rPr>
                <w:rFonts w:hint="eastAsia"/>
                <w:color w:val="1F2329"/>
                <w:sz w:val="24"/>
              </w:rPr>
              <w:t>当前出口负载</w:t>
            </w:r>
            <w:r>
              <w:rPr>
                <w:color w:val="1F2329"/>
                <w:sz w:val="24"/>
              </w:rPr>
              <w:t>AD-1000-G642-S3</w:t>
            </w:r>
            <w:r>
              <w:rPr>
                <w:rFonts w:hint="eastAsia"/>
                <w:color w:val="1F2329"/>
                <w:sz w:val="24"/>
              </w:rPr>
              <w:t>的</w:t>
            </w:r>
            <w:r>
              <w:rPr>
                <w:color w:val="1F2329"/>
                <w:sz w:val="24"/>
              </w:rPr>
              <w:t>设备</w:t>
            </w:r>
            <w:r>
              <w:rPr>
                <w:rFonts w:hint="eastAsia"/>
                <w:color w:val="1F2329"/>
                <w:sz w:val="24"/>
                <w:lang w:val="en-US" w:eastAsia="zh-CN"/>
              </w:rPr>
              <w:t>上门</w:t>
            </w:r>
            <w:r>
              <w:rPr>
                <w:color w:val="1F2329"/>
                <w:sz w:val="24"/>
              </w:rPr>
              <w:t>服务</w:t>
            </w:r>
            <w:r>
              <w:rPr>
                <w:rFonts w:hint="eastAsia"/>
                <w:color w:val="1F2329"/>
                <w:sz w:val="24"/>
              </w:rPr>
              <w:t>续费</w:t>
            </w:r>
          </w:p>
        </w:tc>
        <w:tc>
          <w:tcPr>
            <w:tcW w:w="679" w:type="dxa"/>
            <w:vAlign w:val="center"/>
          </w:tcPr>
          <w:p w14:paraId="3F277265">
            <w:pPr>
              <w:widowControl/>
              <w:spacing w:line="288" w:lineRule="atLeast"/>
              <w:jc w:val="left"/>
              <w:rPr>
                <w:color w:val="1F2329"/>
                <w:sz w:val="24"/>
              </w:rPr>
            </w:pPr>
            <w:r>
              <w:rPr>
                <w:color w:val="1F2329"/>
                <w:sz w:val="24"/>
              </w:rPr>
              <w:t>1</w:t>
            </w:r>
          </w:p>
        </w:tc>
        <w:tc>
          <w:tcPr>
            <w:tcW w:w="805" w:type="dxa"/>
            <w:vAlign w:val="center"/>
          </w:tcPr>
          <w:p w14:paraId="5259BA3B">
            <w:pPr>
              <w:widowControl/>
              <w:spacing w:line="288" w:lineRule="atLeast"/>
              <w:jc w:val="left"/>
              <w:rPr>
                <w:color w:val="1F2329"/>
                <w:sz w:val="24"/>
              </w:rPr>
            </w:pPr>
            <w:r>
              <w:rPr>
                <w:color w:val="1F2329"/>
                <w:sz w:val="24"/>
              </w:rPr>
              <w:t>套/年</w:t>
            </w:r>
          </w:p>
        </w:tc>
      </w:tr>
      <w:tr w14:paraId="4EF67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2" w:hRule="atLeast"/>
          <w:tblCellSpacing w:w="15" w:type="dxa"/>
          <w:jc w:val="center"/>
        </w:trPr>
        <w:tc>
          <w:tcPr>
            <w:tcW w:w="1980" w:type="dxa"/>
            <w:vAlign w:val="center"/>
          </w:tcPr>
          <w:p w14:paraId="2BAFDA4E">
            <w:pPr>
              <w:widowControl/>
              <w:spacing w:line="288" w:lineRule="atLeast"/>
              <w:jc w:val="left"/>
              <w:rPr>
                <w:color w:val="1F2329"/>
                <w:sz w:val="24"/>
              </w:rPr>
            </w:pPr>
            <w:r>
              <w:rPr>
                <w:color w:val="1F2329"/>
                <w:sz w:val="24"/>
              </w:rPr>
              <w:t>出口防火墙设备</w:t>
            </w:r>
          </w:p>
        </w:tc>
        <w:tc>
          <w:tcPr>
            <w:tcW w:w="5498" w:type="dxa"/>
            <w:vAlign w:val="center"/>
          </w:tcPr>
          <w:p w14:paraId="1D023866">
            <w:pPr>
              <w:widowControl/>
              <w:spacing w:line="288" w:lineRule="atLeast"/>
              <w:jc w:val="left"/>
              <w:rPr>
                <w:color w:val="1F2329"/>
                <w:sz w:val="24"/>
              </w:rPr>
            </w:pPr>
            <w:r>
              <w:rPr>
                <w:rFonts w:hint="eastAsia"/>
                <w:color w:val="1F2329"/>
                <w:sz w:val="24"/>
              </w:rPr>
              <w:t>当前出口防火墙</w:t>
            </w:r>
            <w:r>
              <w:rPr>
                <w:color w:val="1F2329"/>
                <w:sz w:val="24"/>
              </w:rPr>
              <w:t>AF-2000-B2180</w:t>
            </w:r>
            <w:r>
              <w:rPr>
                <w:rFonts w:hint="eastAsia"/>
                <w:color w:val="1F2329"/>
                <w:sz w:val="24"/>
              </w:rPr>
              <w:t>的</w:t>
            </w:r>
            <w:r>
              <w:rPr>
                <w:color w:val="1F2329"/>
                <w:sz w:val="24"/>
              </w:rPr>
              <w:t>设备</w:t>
            </w:r>
            <w:r>
              <w:rPr>
                <w:rFonts w:hint="eastAsia"/>
                <w:color w:val="1F2329"/>
                <w:sz w:val="24"/>
                <w:lang w:val="en-US" w:eastAsia="zh-CN"/>
              </w:rPr>
              <w:t>规则库</w:t>
            </w:r>
            <w:r>
              <w:rPr>
                <w:color w:val="1F2329"/>
                <w:sz w:val="24"/>
              </w:rPr>
              <w:t>维保服务</w:t>
            </w:r>
            <w:r>
              <w:rPr>
                <w:rFonts w:hint="eastAsia"/>
                <w:color w:val="1F2329"/>
                <w:sz w:val="24"/>
              </w:rPr>
              <w:t>续费</w:t>
            </w:r>
          </w:p>
        </w:tc>
        <w:tc>
          <w:tcPr>
            <w:tcW w:w="679" w:type="dxa"/>
            <w:vAlign w:val="center"/>
          </w:tcPr>
          <w:p w14:paraId="470C289C">
            <w:pPr>
              <w:widowControl/>
              <w:spacing w:line="288" w:lineRule="atLeast"/>
              <w:jc w:val="left"/>
              <w:rPr>
                <w:color w:val="1F2329"/>
                <w:sz w:val="24"/>
              </w:rPr>
            </w:pPr>
            <w:r>
              <w:rPr>
                <w:rFonts w:hint="eastAsia"/>
                <w:color w:val="1F2329"/>
                <w:sz w:val="24"/>
              </w:rPr>
              <w:t>1</w:t>
            </w:r>
          </w:p>
        </w:tc>
        <w:tc>
          <w:tcPr>
            <w:tcW w:w="805" w:type="dxa"/>
            <w:vAlign w:val="center"/>
          </w:tcPr>
          <w:p w14:paraId="7827B358">
            <w:pPr>
              <w:widowControl/>
              <w:spacing w:line="288" w:lineRule="atLeast"/>
              <w:jc w:val="left"/>
              <w:rPr>
                <w:color w:val="1F2329"/>
                <w:sz w:val="24"/>
              </w:rPr>
            </w:pPr>
            <w:r>
              <w:rPr>
                <w:color w:val="1F2329"/>
                <w:sz w:val="24"/>
              </w:rPr>
              <w:t>套/年</w:t>
            </w:r>
          </w:p>
        </w:tc>
      </w:tr>
      <w:tr w14:paraId="07671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15" w:type="dxa"/>
          <w:jc w:val="center"/>
        </w:trPr>
        <w:tc>
          <w:tcPr>
            <w:tcW w:w="1980" w:type="dxa"/>
            <w:vAlign w:val="center"/>
          </w:tcPr>
          <w:p w14:paraId="7E4E17EA">
            <w:pPr>
              <w:widowControl/>
              <w:spacing w:line="288" w:lineRule="atLeast"/>
              <w:jc w:val="left"/>
              <w:rPr>
                <w:color w:val="1F2329"/>
                <w:sz w:val="24"/>
              </w:rPr>
            </w:pPr>
            <w:r>
              <w:rPr>
                <w:color w:val="1F2329"/>
                <w:sz w:val="24"/>
              </w:rPr>
              <w:t>上网行为管理设备</w:t>
            </w:r>
          </w:p>
        </w:tc>
        <w:tc>
          <w:tcPr>
            <w:tcW w:w="5498" w:type="dxa"/>
            <w:vAlign w:val="center"/>
          </w:tcPr>
          <w:p w14:paraId="4A7FFFBF">
            <w:pPr>
              <w:widowControl/>
              <w:spacing w:line="288" w:lineRule="atLeast"/>
              <w:jc w:val="left"/>
              <w:rPr>
                <w:rFonts w:hint="eastAsia"/>
                <w:color w:val="1F2329"/>
                <w:sz w:val="24"/>
              </w:rPr>
            </w:pPr>
            <w:r>
              <w:rPr>
                <w:rFonts w:hint="eastAsia"/>
                <w:color w:val="1F2329"/>
                <w:sz w:val="24"/>
              </w:rPr>
              <w:t>当前出口上网行为管理设备</w:t>
            </w:r>
            <w:r>
              <w:rPr>
                <w:color w:val="1F2329"/>
                <w:sz w:val="24"/>
              </w:rPr>
              <w:t>AC-1000-L444</w:t>
            </w:r>
            <w:r>
              <w:rPr>
                <w:rFonts w:hint="eastAsia"/>
                <w:color w:val="1F2329"/>
                <w:sz w:val="24"/>
              </w:rPr>
              <w:t>的</w:t>
            </w:r>
            <w:r>
              <w:rPr>
                <w:color w:val="1F2329"/>
                <w:sz w:val="24"/>
              </w:rPr>
              <w:t>设备</w:t>
            </w:r>
            <w:r>
              <w:rPr>
                <w:rFonts w:hint="eastAsia"/>
                <w:color w:val="1F2329"/>
                <w:sz w:val="24"/>
                <w:lang w:val="en-US" w:eastAsia="zh-CN"/>
              </w:rPr>
              <w:t>规则库</w:t>
            </w:r>
            <w:r>
              <w:rPr>
                <w:color w:val="1F2329"/>
                <w:sz w:val="24"/>
              </w:rPr>
              <w:t>维保服务</w:t>
            </w:r>
            <w:r>
              <w:rPr>
                <w:rFonts w:hint="eastAsia"/>
                <w:color w:val="1F2329"/>
                <w:sz w:val="24"/>
              </w:rPr>
              <w:t>续费</w:t>
            </w:r>
          </w:p>
        </w:tc>
        <w:tc>
          <w:tcPr>
            <w:tcW w:w="679" w:type="dxa"/>
            <w:vAlign w:val="center"/>
          </w:tcPr>
          <w:p w14:paraId="6FA7F5B8">
            <w:pPr>
              <w:widowControl/>
              <w:spacing w:line="288" w:lineRule="atLeast"/>
              <w:jc w:val="left"/>
              <w:rPr>
                <w:color w:val="1F2329"/>
                <w:sz w:val="24"/>
              </w:rPr>
            </w:pPr>
            <w:r>
              <w:rPr>
                <w:rFonts w:hint="eastAsia"/>
                <w:color w:val="1F2329"/>
                <w:sz w:val="24"/>
              </w:rPr>
              <w:t>1</w:t>
            </w:r>
          </w:p>
        </w:tc>
        <w:tc>
          <w:tcPr>
            <w:tcW w:w="805" w:type="dxa"/>
            <w:vAlign w:val="center"/>
          </w:tcPr>
          <w:p w14:paraId="7B3FD204">
            <w:pPr>
              <w:widowControl/>
              <w:spacing w:line="288" w:lineRule="atLeast"/>
              <w:jc w:val="left"/>
              <w:rPr>
                <w:color w:val="1F2329"/>
                <w:sz w:val="24"/>
              </w:rPr>
            </w:pPr>
            <w:r>
              <w:rPr>
                <w:color w:val="1F2329"/>
                <w:sz w:val="24"/>
              </w:rPr>
              <w:t>套/年</w:t>
            </w:r>
          </w:p>
        </w:tc>
      </w:tr>
    </w:tbl>
    <w:p w14:paraId="1F178320"/>
    <w:p w14:paraId="0FBB9146">
      <w:pPr>
        <w:pStyle w:val="3"/>
        <w:rPr>
          <w:b/>
          <w:bCs/>
        </w:rPr>
      </w:pPr>
      <w:r>
        <w:rPr>
          <w:rFonts w:hint="eastAsia"/>
        </w:rPr>
        <w:t>2、</w:t>
      </w:r>
      <w:r>
        <w:t>核心技术要求：</w:t>
      </w:r>
    </w:p>
    <w:p w14:paraId="4F92ECCD">
      <w:pPr>
        <w:spacing w:line="360" w:lineRule="auto"/>
        <w:rPr>
          <w:rFonts w:ascii="宋体" w:hAnsi="宋体" w:cs="宋体"/>
          <w:sz w:val="24"/>
        </w:rPr>
      </w:pPr>
      <w:r>
        <w:rPr>
          <w:rFonts w:ascii="宋体" w:hAnsi="宋体" w:cs="宋体"/>
          <w:b/>
          <w:bCs/>
          <w:sz w:val="24"/>
        </w:rPr>
        <w:t>一、 出口负载均衡设备（AD-1000-G642-S3）维保服务要求</w:t>
      </w:r>
    </w:p>
    <w:p w14:paraId="529347DE">
      <w:pPr>
        <w:numPr>
          <w:ilvl w:val="0"/>
          <w:numId w:val="1"/>
        </w:numPr>
        <w:spacing w:line="360" w:lineRule="auto"/>
        <w:rPr>
          <w:rFonts w:ascii="宋体" w:hAnsi="宋体" w:cs="宋体"/>
          <w:sz w:val="24"/>
        </w:rPr>
      </w:pPr>
      <w:r>
        <w:rPr>
          <w:rFonts w:ascii="宋体" w:hAnsi="宋体" w:cs="宋体"/>
          <w:b/>
          <w:bCs/>
          <w:sz w:val="24"/>
        </w:rPr>
        <w:t>服务模式</w:t>
      </w:r>
      <w:r>
        <w:rPr>
          <w:rFonts w:ascii="宋体" w:hAnsi="宋体" w:cs="宋体"/>
          <w:sz w:val="24"/>
        </w:rPr>
        <w:t>：须提供</w:t>
      </w:r>
      <w:r>
        <w:rPr>
          <w:rFonts w:hint="eastAsia" w:ascii="宋体" w:hAnsi="宋体" w:cs="宋体"/>
          <w:sz w:val="24"/>
        </w:rPr>
        <w:t>为期1年的</w:t>
      </w:r>
      <w:r>
        <w:rPr>
          <w:rFonts w:ascii="宋体" w:hAnsi="宋体" w:cs="宋体"/>
          <w:sz w:val="24"/>
        </w:rPr>
        <w:t>原厂商技术服务，在保证现有设备不间断运行的前提下，完成维保服务激活与年度上门巡检。</w:t>
      </w:r>
    </w:p>
    <w:p w14:paraId="7738EFDA">
      <w:pPr>
        <w:numPr>
          <w:ilvl w:val="0"/>
          <w:numId w:val="1"/>
        </w:numPr>
        <w:spacing w:line="360" w:lineRule="auto"/>
        <w:rPr>
          <w:rFonts w:ascii="宋体" w:hAnsi="宋体" w:cs="宋体"/>
          <w:sz w:val="24"/>
        </w:rPr>
      </w:pPr>
      <w:r>
        <w:rPr>
          <w:rFonts w:ascii="宋体" w:hAnsi="宋体" w:cs="宋体"/>
          <w:b/>
          <w:bCs/>
          <w:sz w:val="24"/>
        </w:rPr>
        <w:t>核心功能持续性保障</w:t>
      </w:r>
      <w:r>
        <w:rPr>
          <w:rFonts w:ascii="宋体" w:hAnsi="宋体" w:cs="宋体"/>
          <w:sz w:val="24"/>
        </w:rPr>
        <w:t>：</w:t>
      </w:r>
    </w:p>
    <w:p w14:paraId="5E568716">
      <w:pPr>
        <w:numPr>
          <w:ilvl w:val="1"/>
          <w:numId w:val="1"/>
        </w:numPr>
        <w:spacing w:line="360" w:lineRule="auto"/>
        <w:rPr>
          <w:rFonts w:ascii="宋体" w:hAnsi="宋体" w:cs="宋体"/>
          <w:sz w:val="24"/>
        </w:rPr>
      </w:pPr>
      <w:r>
        <w:rPr>
          <w:rFonts w:ascii="宋体" w:hAnsi="宋体" w:cs="宋体"/>
          <w:sz w:val="24"/>
        </w:rPr>
        <w:t>维保后的设备须持续支持基于URL的智能链路调度功能，内置不少于10万条的国外URL网址库，并支持该库的自动更新，管理员可查看。能依据URL将访问国外网站的请求精准调度至指定链路。</w:t>
      </w:r>
    </w:p>
    <w:p w14:paraId="388951CD">
      <w:pPr>
        <w:numPr>
          <w:ilvl w:val="1"/>
          <w:numId w:val="1"/>
        </w:numPr>
        <w:spacing w:line="360" w:lineRule="auto"/>
        <w:rPr>
          <w:rFonts w:ascii="宋体" w:hAnsi="宋体" w:cs="宋体"/>
          <w:sz w:val="24"/>
        </w:rPr>
      </w:pPr>
      <w:r>
        <w:rPr>
          <w:rFonts w:ascii="宋体" w:hAnsi="宋体" w:cs="宋体"/>
          <w:sz w:val="24"/>
        </w:rPr>
        <w:t>设备须支持包括轮询、加权轮询、最快响应、主备、优先级等在内的多种负载均衡算法，确保链路调度的高可用性与灵活性。</w:t>
      </w:r>
    </w:p>
    <w:p w14:paraId="0713F427">
      <w:pPr>
        <w:numPr>
          <w:ilvl w:val="1"/>
          <w:numId w:val="1"/>
        </w:numPr>
        <w:spacing w:line="360" w:lineRule="auto"/>
        <w:rPr>
          <w:rFonts w:ascii="宋体" w:hAnsi="宋体" w:cs="宋体"/>
          <w:sz w:val="24"/>
        </w:rPr>
      </w:pPr>
      <w:r>
        <w:rPr>
          <w:rFonts w:ascii="宋体" w:hAnsi="宋体" w:cs="宋体"/>
          <w:sz w:val="24"/>
        </w:rPr>
        <w:t>单台设备须同时具备并激活链路负载均衡、全局负载均衡和服务器负载均衡功能，无需额外购买授权。</w:t>
      </w:r>
    </w:p>
    <w:p w14:paraId="238A2502">
      <w:pPr>
        <w:spacing w:line="360" w:lineRule="auto"/>
        <w:rPr>
          <w:rFonts w:ascii="宋体" w:hAnsi="宋体" w:cs="宋体"/>
          <w:sz w:val="24"/>
        </w:rPr>
      </w:pPr>
      <w:r>
        <w:rPr>
          <w:rFonts w:ascii="宋体" w:hAnsi="宋体" w:cs="宋体"/>
          <w:b/>
          <w:bCs/>
          <w:sz w:val="24"/>
        </w:rPr>
        <w:t>二、 出口防火墙设备（AF-2000-B2180）维保服务要求</w:t>
      </w:r>
    </w:p>
    <w:p w14:paraId="05BA70FB">
      <w:pPr>
        <w:numPr>
          <w:ilvl w:val="0"/>
          <w:numId w:val="2"/>
        </w:numPr>
        <w:spacing w:line="360" w:lineRule="auto"/>
        <w:rPr>
          <w:rFonts w:ascii="宋体" w:hAnsi="宋体" w:cs="宋体"/>
          <w:sz w:val="24"/>
        </w:rPr>
      </w:pPr>
      <w:r>
        <w:rPr>
          <w:rFonts w:ascii="宋体" w:hAnsi="宋体" w:cs="宋体"/>
          <w:b/>
          <w:bCs/>
          <w:sz w:val="24"/>
        </w:rPr>
        <w:t>服务模式</w:t>
      </w:r>
      <w:r>
        <w:rPr>
          <w:rFonts w:ascii="宋体" w:hAnsi="宋体" w:cs="宋体"/>
          <w:sz w:val="24"/>
        </w:rPr>
        <w:t>：须提供</w:t>
      </w:r>
      <w:r>
        <w:rPr>
          <w:rFonts w:hint="eastAsia" w:ascii="宋体" w:hAnsi="宋体" w:cs="宋体"/>
          <w:sz w:val="24"/>
        </w:rPr>
        <w:t>为期1年的</w:t>
      </w:r>
      <w:r>
        <w:rPr>
          <w:rFonts w:ascii="宋体" w:hAnsi="宋体" w:cs="宋体"/>
          <w:sz w:val="24"/>
        </w:rPr>
        <w:t>原厂商技术服务，在保证现有设备不间断运行的前提下，提供为期一年的安全规则库更新服务及年度上门巡检。</w:t>
      </w:r>
    </w:p>
    <w:p w14:paraId="5C8D09F3">
      <w:pPr>
        <w:numPr>
          <w:ilvl w:val="0"/>
          <w:numId w:val="2"/>
        </w:numPr>
        <w:spacing w:line="360" w:lineRule="auto"/>
        <w:rPr>
          <w:rFonts w:ascii="宋体" w:hAnsi="宋体" w:cs="宋体"/>
          <w:sz w:val="24"/>
        </w:rPr>
      </w:pPr>
      <w:r>
        <w:rPr>
          <w:rFonts w:ascii="宋体" w:hAnsi="宋体" w:cs="宋体"/>
          <w:b/>
          <w:bCs/>
          <w:sz w:val="24"/>
        </w:rPr>
        <w:t>安全能力持续性保障</w:t>
      </w:r>
      <w:r>
        <w:rPr>
          <w:rFonts w:ascii="宋体" w:hAnsi="宋体" w:cs="宋体"/>
          <w:sz w:val="24"/>
        </w:rPr>
        <w:t>：</w:t>
      </w:r>
    </w:p>
    <w:p w14:paraId="29C39508">
      <w:pPr>
        <w:numPr>
          <w:ilvl w:val="1"/>
          <w:numId w:val="2"/>
        </w:numPr>
        <w:spacing w:line="360" w:lineRule="auto"/>
        <w:rPr>
          <w:rFonts w:ascii="宋体" w:hAnsi="宋体" w:cs="宋体"/>
          <w:sz w:val="24"/>
        </w:rPr>
      </w:pPr>
      <w:r>
        <w:rPr>
          <w:rFonts w:ascii="宋体" w:hAnsi="宋体" w:cs="宋体"/>
          <w:sz w:val="24"/>
        </w:rPr>
        <w:t>维保服务须确保实时漏洞分析规则库持续有效，能够对HTTP、FTP、Mail、数据库等常见服务器软件的底层漏洞，以及SQL注入、XSS攻击、Webshell等Web应用风险进行实时分析与展示。</w:t>
      </w:r>
    </w:p>
    <w:p w14:paraId="4F392102">
      <w:pPr>
        <w:numPr>
          <w:ilvl w:val="1"/>
          <w:numId w:val="2"/>
        </w:numPr>
        <w:spacing w:line="360" w:lineRule="auto"/>
        <w:rPr>
          <w:rFonts w:ascii="宋体" w:hAnsi="宋体" w:cs="宋体"/>
          <w:sz w:val="24"/>
        </w:rPr>
      </w:pPr>
      <w:r>
        <w:rPr>
          <w:rFonts w:ascii="宋体" w:hAnsi="宋体" w:cs="宋体"/>
          <w:sz w:val="24"/>
        </w:rPr>
        <w:t>产品漏洞规则库须保持不低于13000种，并支持在控制台通过漏洞ID、CVE标识等多条件进行查询。同时，须支持用户自定义IPS防护规则。</w:t>
      </w:r>
    </w:p>
    <w:p w14:paraId="5DB4200B">
      <w:pPr>
        <w:numPr>
          <w:ilvl w:val="1"/>
          <w:numId w:val="2"/>
        </w:numPr>
        <w:spacing w:line="360" w:lineRule="auto"/>
        <w:rPr>
          <w:rFonts w:ascii="宋体" w:hAnsi="宋体" w:cs="宋体"/>
          <w:sz w:val="24"/>
        </w:rPr>
      </w:pPr>
      <w:r>
        <w:rPr>
          <w:rFonts w:ascii="宋体" w:hAnsi="宋体" w:cs="宋体"/>
          <w:sz w:val="24"/>
        </w:rPr>
        <w:t>设备须持续具备Cookie攻击防护能力，并能对篡改行为进行日志记录。</w:t>
      </w:r>
    </w:p>
    <w:p w14:paraId="623E296D">
      <w:pPr>
        <w:spacing w:line="360" w:lineRule="auto"/>
        <w:rPr>
          <w:rFonts w:ascii="宋体" w:hAnsi="宋体" w:cs="宋体"/>
          <w:sz w:val="24"/>
        </w:rPr>
      </w:pPr>
      <w:r>
        <w:rPr>
          <w:rFonts w:ascii="宋体" w:hAnsi="宋体" w:cs="宋体"/>
          <w:b/>
          <w:bCs/>
          <w:sz w:val="24"/>
        </w:rPr>
        <w:t>三、 上网行为管理设备（AC-1000-L444）维保服务要求</w:t>
      </w:r>
    </w:p>
    <w:p w14:paraId="05C815DD">
      <w:pPr>
        <w:numPr>
          <w:ilvl w:val="0"/>
          <w:numId w:val="3"/>
        </w:numPr>
        <w:spacing w:line="360" w:lineRule="auto"/>
        <w:rPr>
          <w:rFonts w:ascii="宋体" w:hAnsi="宋体" w:cs="宋体"/>
          <w:sz w:val="24"/>
        </w:rPr>
      </w:pPr>
      <w:r>
        <w:rPr>
          <w:rFonts w:ascii="宋体" w:hAnsi="宋体" w:cs="宋体"/>
          <w:b/>
          <w:bCs/>
          <w:sz w:val="24"/>
        </w:rPr>
        <w:t>服务模式</w:t>
      </w:r>
      <w:r>
        <w:rPr>
          <w:rFonts w:ascii="宋体" w:hAnsi="宋体" w:cs="宋体"/>
          <w:sz w:val="24"/>
        </w:rPr>
        <w:t>：须提供</w:t>
      </w:r>
      <w:r>
        <w:rPr>
          <w:rFonts w:hint="eastAsia" w:ascii="宋体" w:hAnsi="宋体" w:cs="宋体"/>
          <w:sz w:val="24"/>
        </w:rPr>
        <w:t>为期1年的</w:t>
      </w:r>
      <w:r>
        <w:rPr>
          <w:rFonts w:ascii="宋体" w:hAnsi="宋体" w:cs="宋体"/>
          <w:sz w:val="24"/>
        </w:rPr>
        <w:t>原厂商技术服务，在保证现有设备不间断运行的前提下，提供为期一年的应用规则库更新服务及年度上门巡检。</w:t>
      </w:r>
    </w:p>
    <w:p w14:paraId="67FB7BE6">
      <w:pPr>
        <w:numPr>
          <w:ilvl w:val="0"/>
          <w:numId w:val="3"/>
        </w:numPr>
        <w:spacing w:line="360" w:lineRule="auto"/>
        <w:rPr>
          <w:rFonts w:ascii="宋体" w:hAnsi="宋体" w:cs="宋体"/>
          <w:sz w:val="24"/>
        </w:rPr>
      </w:pPr>
      <w:r>
        <w:rPr>
          <w:rFonts w:ascii="宋体" w:hAnsi="宋体" w:cs="宋体"/>
          <w:b/>
          <w:bCs/>
          <w:sz w:val="24"/>
        </w:rPr>
        <w:t>管理与控制能力持续性保障</w:t>
      </w:r>
      <w:r>
        <w:rPr>
          <w:rFonts w:ascii="宋体" w:hAnsi="宋体" w:cs="宋体"/>
          <w:sz w:val="24"/>
        </w:rPr>
        <w:t>：</w:t>
      </w:r>
    </w:p>
    <w:p w14:paraId="35CD24BC">
      <w:pPr>
        <w:numPr>
          <w:ilvl w:val="1"/>
          <w:numId w:val="3"/>
        </w:numPr>
        <w:spacing w:line="360" w:lineRule="auto"/>
        <w:rPr>
          <w:rFonts w:ascii="宋体" w:hAnsi="宋体" w:cs="宋体"/>
          <w:sz w:val="24"/>
        </w:rPr>
      </w:pPr>
      <w:r>
        <w:rPr>
          <w:rFonts w:ascii="宋体" w:hAnsi="宋体" w:cs="宋体"/>
          <w:sz w:val="24"/>
        </w:rPr>
        <w:t>维保后，设备内置应用识别规则库须支持超过10000种应用，支持基于标签进行应用的分类、选择与控制。</w:t>
      </w:r>
    </w:p>
    <w:p w14:paraId="1A0715A5">
      <w:pPr>
        <w:numPr>
          <w:ilvl w:val="1"/>
          <w:numId w:val="3"/>
        </w:numPr>
        <w:spacing w:line="360" w:lineRule="auto"/>
        <w:rPr>
          <w:rFonts w:ascii="宋体" w:hAnsi="宋体" w:cs="宋体"/>
          <w:sz w:val="24"/>
        </w:rPr>
      </w:pPr>
      <w:r>
        <w:rPr>
          <w:rFonts w:ascii="宋体" w:hAnsi="宋体" w:cs="宋体"/>
          <w:sz w:val="24"/>
        </w:rPr>
        <w:t>设备须保持对网络接入终端的可视化管理能力，能展示终端类型、详细信息（厂商、系统等）及合规状态。</w:t>
      </w:r>
    </w:p>
    <w:p w14:paraId="1CD60A26">
      <w:pPr>
        <w:numPr>
          <w:ilvl w:val="1"/>
          <w:numId w:val="3"/>
        </w:numPr>
        <w:spacing w:line="360" w:lineRule="auto"/>
        <w:rPr>
          <w:rFonts w:ascii="宋体" w:hAnsi="宋体" w:cs="宋体"/>
          <w:sz w:val="24"/>
        </w:rPr>
      </w:pPr>
      <w:r>
        <w:rPr>
          <w:rFonts w:ascii="宋体" w:hAnsi="宋体" w:cs="宋体"/>
          <w:sz w:val="24"/>
        </w:rPr>
        <w:t>设备须持续支持对主流应用（如微博、远程控制工具、网盘等）进行细分行为控制，例如区分登录、浏览、上传、远程控制接受等具体动作。</w:t>
      </w:r>
    </w:p>
    <w:p w14:paraId="692814AA">
      <w:pPr>
        <w:spacing w:line="360" w:lineRule="auto"/>
        <w:rPr>
          <w:rFonts w:ascii="宋体" w:hAnsi="宋体" w:cs="宋体"/>
          <w:sz w:val="24"/>
        </w:rPr>
      </w:pPr>
    </w:p>
    <w:p w14:paraId="24C3AC9E">
      <w:pPr>
        <w:spacing w:line="360" w:lineRule="auto"/>
        <w:rPr>
          <w:rFonts w:hint="eastAsia" w:ascii="宋体" w:hAnsi="宋体" w:cs="宋体"/>
          <w:b/>
          <w:bCs/>
          <w:sz w:val="24"/>
        </w:rPr>
      </w:pPr>
    </w:p>
    <w:p w14:paraId="1E23DE7E">
      <w:pPr>
        <w:widowControl/>
        <w:spacing w:line="360" w:lineRule="auto"/>
        <w:jc w:val="left"/>
      </w:pPr>
      <w:r>
        <w:rPr>
          <w:rFonts w:hint="eastAsia" w:ascii="宋体" w:hAnsi="宋体" w:cs="宋体"/>
          <w:b/>
          <w:bCs/>
          <w:kern w:val="0"/>
          <w:sz w:val="24"/>
        </w:rPr>
        <w:t>注：上述所有服务需求，供应商应完全响应，否则视为响应无效。</w:t>
      </w:r>
      <w:r>
        <w:rPr>
          <w:rFonts w:hint="eastAsia" w:ascii="宋体" w:hAnsi="宋体" w:cs="宋体"/>
          <w:b/>
          <w:bCs/>
          <w:sz w:val="24"/>
        </w:rPr>
        <w:t>响应供应商</w:t>
      </w:r>
      <w:r>
        <w:rPr>
          <w:rFonts w:hint="eastAsia" w:ascii="宋体" w:hAnsi="宋体" w:cs="宋体"/>
          <w:b/>
          <w:bCs/>
          <w:sz w:val="24"/>
          <w:lang w:val="en-US" w:eastAsia="zh-CN"/>
        </w:rPr>
        <w:t>需提供售后服务承诺函，加盖供应商公章</w:t>
      </w:r>
      <w:r>
        <w:rPr>
          <w:rFonts w:hint="eastAsia" w:ascii="宋体" w:hAnsi="宋体" w:cs="宋体"/>
          <w:b/>
          <w:bCs/>
          <w:kern w:val="0"/>
          <w:sz w:val="24"/>
        </w:rPr>
        <w:t>。</w:t>
      </w:r>
    </w:p>
    <w:p w14:paraId="6C0D0C45">
      <w:pPr>
        <w:spacing w:line="360" w:lineRule="auto"/>
        <w:ind w:firstLine="480" w:firstLineChars="200"/>
        <w:rPr>
          <w:rFonts w:ascii="宋体" w:hAnsi="宋体" w:cs="宋体"/>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8371E7"/>
    <w:multiLevelType w:val="multilevel"/>
    <w:tmpl w:val="128371E7"/>
    <w:lvl w:ilvl="0" w:tentative="0">
      <w:start w:val="1"/>
      <w:numFmt w:val="decimal"/>
      <w:lvlText w:val="%1."/>
      <w:lvlJc w:val="left"/>
      <w:pPr>
        <w:tabs>
          <w:tab w:val="left" w:pos="720"/>
        </w:tabs>
        <w:ind w:left="720" w:hanging="360"/>
      </w:p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4D631947"/>
    <w:multiLevelType w:val="multilevel"/>
    <w:tmpl w:val="4D631947"/>
    <w:lvl w:ilvl="0" w:tentative="0">
      <w:start w:val="1"/>
      <w:numFmt w:val="decimal"/>
      <w:lvlText w:val="%1."/>
      <w:lvlJc w:val="left"/>
      <w:pPr>
        <w:tabs>
          <w:tab w:val="left" w:pos="720"/>
        </w:tabs>
        <w:ind w:left="720" w:hanging="360"/>
      </w:p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753670BB"/>
    <w:multiLevelType w:val="multilevel"/>
    <w:tmpl w:val="753670BB"/>
    <w:lvl w:ilvl="0" w:tentative="0">
      <w:start w:val="1"/>
      <w:numFmt w:val="decimal"/>
      <w:lvlText w:val="%1."/>
      <w:lvlJc w:val="left"/>
      <w:pPr>
        <w:tabs>
          <w:tab w:val="left" w:pos="720"/>
        </w:tabs>
        <w:ind w:left="720" w:hanging="360"/>
      </w:p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CF2"/>
    <w:rsid w:val="001F4E1D"/>
    <w:rsid w:val="0026048C"/>
    <w:rsid w:val="002A4DF5"/>
    <w:rsid w:val="00444CF2"/>
    <w:rsid w:val="00486EF7"/>
    <w:rsid w:val="005A1EF3"/>
    <w:rsid w:val="0082569C"/>
    <w:rsid w:val="009B06A9"/>
    <w:rsid w:val="00A07A78"/>
    <w:rsid w:val="00A62C5B"/>
    <w:rsid w:val="00AA28DB"/>
    <w:rsid w:val="00B766B8"/>
    <w:rsid w:val="00CC5D2B"/>
    <w:rsid w:val="00DA4807"/>
    <w:rsid w:val="028A29CE"/>
    <w:rsid w:val="052E656D"/>
    <w:rsid w:val="056C10DB"/>
    <w:rsid w:val="060A2B37"/>
    <w:rsid w:val="081E6D6D"/>
    <w:rsid w:val="095B721E"/>
    <w:rsid w:val="0F1A028E"/>
    <w:rsid w:val="16797089"/>
    <w:rsid w:val="17610ABD"/>
    <w:rsid w:val="17D94E75"/>
    <w:rsid w:val="1BCD6688"/>
    <w:rsid w:val="1C743A43"/>
    <w:rsid w:val="1F464788"/>
    <w:rsid w:val="1F8B2894"/>
    <w:rsid w:val="279938C3"/>
    <w:rsid w:val="28A446F0"/>
    <w:rsid w:val="2D6F3A8E"/>
    <w:rsid w:val="31012C04"/>
    <w:rsid w:val="338A5521"/>
    <w:rsid w:val="3911775D"/>
    <w:rsid w:val="4149719B"/>
    <w:rsid w:val="428C60A6"/>
    <w:rsid w:val="42D27F5D"/>
    <w:rsid w:val="44114AB5"/>
    <w:rsid w:val="549A4653"/>
    <w:rsid w:val="563D5BDD"/>
    <w:rsid w:val="5AC278D4"/>
    <w:rsid w:val="66797C0C"/>
    <w:rsid w:val="70063C83"/>
    <w:rsid w:val="76164029"/>
    <w:rsid w:val="7D472D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2"/>
    <w:qFormat/>
    <w:uiPriority w:val="0"/>
    <w:pPr>
      <w:outlineLvl w:val="0"/>
    </w:pPr>
    <w:rPr>
      <w:rFonts w:ascii="宋体" w:hAnsi="宋体" w:cs="宋体"/>
      <w:b/>
      <w:bCs/>
      <w:sz w:val="28"/>
      <w:szCs w:val="28"/>
    </w:rPr>
  </w:style>
  <w:style w:type="paragraph" w:styleId="3">
    <w:name w:val="heading 2"/>
    <w:basedOn w:val="1"/>
    <w:next w:val="1"/>
    <w:unhideWhenUsed/>
    <w:qFormat/>
    <w:uiPriority w:val="0"/>
    <w:pPr>
      <w:spacing w:line="360" w:lineRule="auto"/>
      <w:jc w:val="left"/>
      <w:outlineLvl w:val="1"/>
    </w:pPr>
    <w:rPr>
      <w:rFonts w:ascii="宋体" w:hAnsi="宋体" w:cs="宋体"/>
      <w:sz w:val="24"/>
    </w:rPr>
  </w:style>
  <w:style w:type="paragraph" w:styleId="4">
    <w:name w:val="heading 3"/>
    <w:basedOn w:val="1"/>
    <w:next w:val="1"/>
    <w:unhideWhenUsed/>
    <w:qFormat/>
    <w:uiPriority w:val="0"/>
    <w:pPr>
      <w:spacing w:beforeAutospacing="1" w:afterAutospacing="1"/>
      <w:jc w:val="left"/>
      <w:outlineLvl w:val="2"/>
    </w:pPr>
    <w:rPr>
      <w:rFonts w:hint="eastAsia" w:ascii="宋体" w:hAnsi="宋体"/>
      <w:b/>
      <w:bCs/>
      <w:kern w:val="0"/>
      <w:sz w:val="27"/>
      <w:szCs w:val="27"/>
    </w:rPr>
  </w:style>
  <w:style w:type="paragraph" w:styleId="5">
    <w:name w:val="heading 4"/>
    <w:basedOn w:val="1"/>
    <w:next w:val="1"/>
    <w:semiHidden/>
    <w:unhideWhenUsed/>
    <w:qFormat/>
    <w:uiPriority w:val="0"/>
    <w:pPr>
      <w:spacing w:beforeAutospacing="1" w:afterAutospacing="1"/>
      <w:jc w:val="left"/>
      <w:outlineLvl w:val="3"/>
    </w:pPr>
    <w:rPr>
      <w:rFonts w:hint="eastAsia" w:ascii="宋体" w:hAnsi="宋体"/>
      <w:b/>
      <w:bCs/>
      <w:kern w:val="0"/>
      <w:sz w:val="24"/>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6">
    <w:name w:val="footer"/>
    <w:basedOn w:val="1"/>
    <w:link w:val="11"/>
    <w:qFormat/>
    <w:uiPriority w:val="0"/>
    <w:pPr>
      <w:tabs>
        <w:tab w:val="center" w:pos="4153"/>
        <w:tab w:val="right" w:pos="8306"/>
      </w:tabs>
      <w:snapToGrid w:val="0"/>
      <w:jc w:val="left"/>
    </w:pPr>
    <w:rPr>
      <w:sz w:val="18"/>
      <w:szCs w:val="18"/>
    </w:rPr>
  </w:style>
  <w:style w:type="paragraph" w:styleId="7">
    <w:name w:val="header"/>
    <w:basedOn w:val="1"/>
    <w:link w:val="10"/>
    <w:qFormat/>
    <w:uiPriority w:val="0"/>
    <w:pPr>
      <w:tabs>
        <w:tab w:val="center" w:pos="4153"/>
        <w:tab w:val="right" w:pos="8306"/>
      </w:tabs>
      <w:snapToGrid w:val="0"/>
      <w:jc w:val="center"/>
    </w:pPr>
    <w:rPr>
      <w:sz w:val="18"/>
      <w:szCs w:val="18"/>
    </w:rPr>
  </w:style>
  <w:style w:type="character" w:customStyle="1" w:styleId="10">
    <w:name w:val="页眉 字符"/>
    <w:basedOn w:val="9"/>
    <w:link w:val="7"/>
    <w:qFormat/>
    <w:uiPriority w:val="0"/>
    <w:rPr>
      <w:rFonts w:ascii="Calibri" w:hAnsi="Calibri"/>
      <w:kern w:val="2"/>
      <w:sz w:val="18"/>
      <w:szCs w:val="18"/>
    </w:rPr>
  </w:style>
  <w:style w:type="character" w:customStyle="1" w:styleId="11">
    <w:name w:val="页脚 字符"/>
    <w:basedOn w:val="9"/>
    <w:link w:val="6"/>
    <w:qFormat/>
    <w:uiPriority w:val="0"/>
    <w:rPr>
      <w:rFonts w:ascii="Calibri" w:hAnsi="Calibri"/>
      <w:kern w:val="2"/>
      <w:sz w:val="18"/>
      <w:szCs w:val="18"/>
    </w:rPr>
  </w:style>
  <w:style w:type="character" w:customStyle="1" w:styleId="12">
    <w:name w:val="标题 1 字符"/>
    <w:basedOn w:val="9"/>
    <w:link w:val="2"/>
    <w:qFormat/>
    <w:uiPriority w:val="0"/>
    <w:rPr>
      <w:rFonts w:ascii="宋体" w:hAnsi="宋体" w:cs="宋体"/>
      <w:b/>
      <w:bCs/>
      <w:kern w:val="2"/>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1679</Words>
  <Characters>1810</Characters>
  <Lines>13</Lines>
  <Paragraphs>3</Paragraphs>
  <TotalTime>15</TotalTime>
  <ScaleCrop>false</ScaleCrop>
  <LinksUpToDate>false</LinksUpToDate>
  <CharactersWithSpaces>1813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2026-03-11T01:08:00Z</dcterms:created>
  <dc:creator>梅子1367886225</dc:creator>
  <cp:lastModifiedBy>邓琳</cp:lastModifiedBy>
  <dcterms:modified xsi:type="dcterms:W3CDTF">2026-06-16T02:23:03Z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C62330214A1D48DDA99D31B4280076D8_13</vt:lpwstr>
  </property>
  <property fmtid="{D5CDD505-2E9C-101B-9397-08002B2CF9AE}" pid="4" name="KSOTemplateDocerSaveRecord">
    <vt:lpwstr>eyJoZGlkIjoiM2EwYmY0NWRjMTg5ZjFlYWMzNDM4NjIyNGIxYjQ3YWMiLCJ1c2VySWQiOiIxNTMyNjcyMTY0In0=</vt:lpwstr>
  </property>
</Properties>
</file>