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text" w:horzAnchor="page" w:tblpX="1666" w:tblpY="239"/>
        <w:tblOverlap w:val="never"/>
        <w:tblW w:w="8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
        <w:gridCol w:w="855"/>
        <w:gridCol w:w="4892"/>
        <w:gridCol w:w="808"/>
        <w:gridCol w:w="438"/>
        <w:gridCol w:w="810"/>
      </w:tblGrid>
      <w:tr w14:paraId="2331C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6" w:type="dxa"/>
            <w:tcBorders>
              <w:top w:val="single" w:color="auto" w:sz="4" w:space="0"/>
              <w:left w:val="single" w:color="auto" w:sz="4" w:space="0"/>
              <w:bottom w:val="single" w:color="auto" w:sz="4" w:space="0"/>
              <w:right w:val="single" w:color="auto" w:sz="4" w:space="0"/>
            </w:tcBorders>
            <w:noWrap w:val="0"/>
            <w:vAlign w:val="center"/>
          </w:tcPr>
          <w:p w14:paraId="1CAE42C0">
            <w:pPr>
              <w:jc w:val="center"/>
            </w:pPr>
            <w:r>
              <w:rPr>
                <w:rFonts w:hint="eastAsia"/>
              </w:rPr>
              <w:t>项号</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7FFCFAA6">
            <w:pPr>
              <w:jc w:val="center"/>
              <w:rPr>
                <w:rFonts w:hint="eastAsia"/>
              </w:rPr>
            </w:pPr>
            <w:r>
              <w:rPr>
                <w:rFonts w:hint="eastAsia"/>
                <w:lang w:val="en-US" w:eastAsia="zh-CN"/>
              </w:rPr>
              <w:t>货物</w:t>
            </w:r>
            <w:r>
              <w:rPr>
                <w:rFonts w:hint="eastAsia"/>
              </w:rPr>
              <w:t>名称</w:t>
            </w:r>
          </w:p>
        </w:tc>
        <w:tc>
          <w:tcPr>
            <w:tcW w:w="4892" w:type="dxa"/>
            <w:tcBorders>
              <w:top w:val="single" w:color="auto" w:sz="4" w:space="0"/>
              <w:left w:val="single" w:color="auto" w:sz="4" w:space="0"/>
              <w:bottom w:val="single" w:color="auto" w:sz="4" w:space="0"/>
              <w:right w:val="single" w:color="auto" w:sz="4" w:space="0"/>
            </w:tcBorders>
            <w:noWrap w:val="0"/>
            <w:vAlign w:val="center"/>
          </w:tcPr>
          <w:p w14:paraId="4A80DD3B">
            <w:pPr>
              <w:jc w:val="center"/>
              <w:rPr>
                <w:rFonts w:hint="eastAsia"/>
              </w:rPr>
            </w:pPr>
            <w:r>
              <w:rPr>
                <w:rFonts w:hint="eastAsia"/>
              </w:rPr>
              <w:t>技术参数及性能（配置）要求</w:t>
            </w:r>
          </w:p>
        </w:tc>
        <w:tc>
          <w:tcPr>
            <w:tcW w:w="808" w:type="dxa"/>
            <w:tcBorders>
              <w:top w:val="single" w:color="auto" w:sz="4" w:space="0"/>
              <w:left w:val="single" w:color="auto" w:sz="4" w:space="0"/>
              <w:bottom w:val="single" w:color="auto" w:sz="4" w:space="0"/>
              <w:right w:val="single" w:color="auto" w:sz="4" w:space="0"/>
            </w:tcBorders>
            <w:noWrap w:val="0"/>
            <w:vAlign w:val="center"/>
          </w:tcPr>
          <w:p w14:paraId="4293201C">
            <w:pPr>
              <w:jc w:val="center"/>
              <w:rPr>
                <w:rFonts w:hint="eastAsia"/>
              </w:rPr>
            </w:pPr>
            <w:r>
              <w:rPr>
                <w:rFonts w:hint="eastAsia"/>
              </w:rPr>
              <w:t>单价</w:t>
            </w:r>
            <w:r>
              <w:rPr>
                <w:rFonts w:hint="eastAsia"/>
                <w:lang w:val="en-US" w:eastAsia="zh-CN"/>
              </w:rPr>
              <w:t>（元）</w:t>
            </w:r>
          </w:p>
        </w:tc>
        <w:tc>
          <w:tcPr>
            <w:tcW w:w="438" w:type="dxa"/>
            <w:tcBorders>
              <w:top w:val="single" w:color="auto" w:sz="4" w:space="0"/>
              <w:left w:val="single" w:color="auto" w:sz="4" w:space="0"/>
              <w:bottom w:val="single" w:color="auto" w:sz="4" w:space="0"/>
              <w:right w:val="single" w:color="auto" w:sz="4" w:space="0"/>
            </w:tcBorders>
            <w:noWrap w:val="0"/>
            <w:vAlign w:val="center"/>
          </w:tcPr>
          <w:p w14:paraId="58593655">
            <w:pPr>
              <w:jc w:val="center"/>
              <w:rPr>
                <w:rFonts w:hint="eastAsia"/>
              </w:rPr>
            </w:pPr>
            <w:r>
              <w:rPr>
                <w:rFonts w:hint="eastAsia"/>
              </w:rPr>
              <w:t>数量</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0F052CB3">
            <w:pPr>
              <w:jc w:val="center"/>
              <w:rPr>
                <w:rFonts w:hint="eastAsia"/>
                <w:lang w:val="en-US" w:eastAsia="zh-CN"/>
              </w:rPr>
            </w:pPr>
            <w:r>
              <w:rPr>
                <w:rFonts w:hint="eastAsia"/>
                <w:lang w:val="en-US" w:eastAsia="zh-CN"/>
              </w:rPr>
              <w:t>总价（元）</w:t>
            </w:r>
          </w:p>
        </w:tc>
      </w:tr>
      <w:tr w14:paraId="6C02B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5" w:hRule="atLeast"/>
        </w:trPr>
        <w:tc>
          <w:tcPr>
            <w:tcW w:w="316" w:type="dxa"/>
            <w:tcBorders>
              <w:top w:val="single" w:color="auto" w:sz="4" w:space="0"/>
              <w:left w:val="single" w:color="auto" w:sz="4" w:space="0"/>
              <w:bottom w:val="single" w:color="auto" w:sz="4" w:space="0"/>
              <w:right w:val="single" w:color="auto" w:sz="4" w:space="0"/>
            </w:tcBorders>
            <w:noWrap w:val="0"/>
            <w:vAlign w:val="center"/>
          </w:tcPr>
          <w:p w14:paraId="13012420">
            <w:pPr>
              <w:jc w:val="center"/>
              <w:rPr>
                <w:rFonts w:hint="eastAsia"/>
              </w:rPr>
            </w:pPr>
            <w:r>
              <w:rPr>
                <w:rFonts w:hint="eastAsia"/>
              </w:rPr>
              <w:t>1</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575AA590">
            <w:pPr>
              <w:jc w:val="center"/>
              <w:rPr>
                <w:rFonts w:hint="eastAsia"/>
                <w:lang w:eastAsia="zh-CN"/>
              </w:rPr>
            </w:pPr>
            <w:r>
              <w:rPr>
                <w:rFonts w:hint="eastAsia"/>
                <w:lang w:val="en-US" w:eastAsia="zh-CN"/>
              </w:rPr>
              <w:t>防火墙</w:t>
            </w:r>
          </w:p>
        </w:tc>
        <w:tc>
          <w:tcPr>
            <w:tcW w:w="4892" w:type="dxa"/>
            <w:tcBorders>
              <w:top w:val="single" w:color="auto" w:sz="4" w:space="0"/>
              <w:left w:val="single" w:color="auto" w:sz="4" w:space="0"/>
              <w:bottom w:val="single" w:color="auto" w:sz="4" w:space="0"/>
              <w:right w:val="single" w:color="auto" w:sz="4" w:space="0"/>
            </w:tcBorders>
            <w:noWrap w:val="0"/>
            <w:vAlign w:val="center"/>
          </w:tcPr>
          <w:p w14:paraId="0004C4CC">
            <w:pPr>
              <w:rPr>
                <w:rFonts w:hint="eastAsia"/>
                <w:color w:val="auto"/>
              </w:rPr>
            </w:pPr>
            <w:r>
              <w:rPr>
                <w:rFonts w:hint="eastAsia"/>
              </w:rPr>
              <w:t>1.网络层吞吐量≥20Gbps，应用层吞吐量≥10Gbps，</w:t>
            </w:r>
            <w:r>
              <w:rPr>
                <w:rFonts w:hint="eastAsia"/>
                <w:color w:val="auto"/>
              </w:rPr>
              <w:t>并发连接数≥300万，每秒新建连接数≥9万；</w:t>
            </w:r>
          </w:p>
          <w:p w14:paraId="0F9161EA">
            <w:pPr>
              <w:rPr>
                <w:rFonts w:hint="eastAsia"/>
                <w:color w:val="auto"/>
              </w:rPr>
            </w:pPr>
            <w:r>
              <w:rPr>
                <w:rFonts w:hint="eastAsia"/>
                <w:color w:val="auto"/>
              </w:rPr>
              <w:t>2.产品采用“高性能多核并行架构”，配置不少于8个千兆电口，</w:t>
            </w:r>
            <w:r>
              <w:rPr>
                <w:rFonts w:hint="eastAsia" w:eastAsia="宋体"/>
                <w:color w:val="auto"/>
                <w:lang w:val="en-US" w:eastAsia="zh-CN"/>
              </w:rPr>
              <w:t>不少于4</w:t>
            </w:r>
            <w:r>
              <w:rPr>
                <w:rFonts w:hint="eastAsia"/>
                <w:color w:val="auto"/>
              </w:rPr>
              <w:t>个万兆光口SFP+（含</w:t>
            </w:r>
            <w:r>
              <w:rPr>
                <w:rFonts w:hint="eastAsia" w:eastAsia="宋体"/>
                <w:color w:val="auto"/>
                <w:lang w:val="en-US" w:eastAsia="zh-CN"/>
              </w:rPr>
              <w:t>2</w:t>
            </w:r>
            <w:r>
              <w:rPr>
                <w:rFonts w:hint="eastAsia"/>
                <w:color w:val="auto"/>
              </w:rPr>
              <w:t>个万兆多模光模块、</w:t>
            </w:r>
            <w:r>
              <w:rPr>
                <w:rFonts w:hint="eastAsia" w:eastAsia="宋体"/>
                <w:color w:val="auto"/>
                <w:lang w:val="en-US" w:eastAsia="zh-CN"/>
              </w:rPr>
              <w:t>2</w:t>
            </w:r>
            <w:r>
              <w:rPr>
                <w:rFonts w:hint="eastAsia"/>
                <w:color w:val="auto"/>
              </w:rPr>
              <w:t>条光纤线）</w:t>
            </w:r>
            <w:r>
              <w:rPr>
                <w:rFonts w:hint="eastAsia" w:eastAsia="宋体"/>
                <w:color w:val="auto"/>
                <w:lang w:eastAsia="zh-CN"/>
              </w:rPr>
              <w:t>，</w:t>
            </w:r>
            <w:r>
              <w:rPr>
                <w:rFonts w:hint="eastAsia"/>
                <w:color w:val="auto"/>
              </w:rPr>
              <w:t>内存不小于8G，硬盘容量不少于128G SSD</w:t>
            </w:r>
            <w:r>
              <w:rPr>
                <w:rFonts w:hint="eastAsia" w:eastAsia="宋体"/>
                <w:color w:val="auto"/>
                <w:lang w:eastAsia="zh-CN"/>
              </w:rPr>
              <w:t>，</w:t>
            </w:r>
            <w:r>
              <w:rPr>
                <w:rFonts w:hint="eastAsia"/>
                <w:color w:val="auto"/>
              </w:rPr>
              <w:t>配置</w:t>
            </w:r>
            <w:r>
              <w:rPr>
                <w:rFonts w:hint="eastAsia" w:eastAsia="宋体"/>
                <w:color w:val="auto"/>
                <w:lang w:val="en-US" w:eastAsia="zh-CN"/>
              </w:rPr>
              <w:t>不少于1个</w:t>
            </w:r>
            <w:r>
              <w:rPr>
                <w:rFonts w:hint="eastAsia"/>
                <w:color w:val="auto"/>
              </w:rPr>
              <w:t>电源；</w:t>
            </w:r>
          </w:p>
          <w:p w14:paraId="26F8F13A">
            <w:pPr>
              <w:rPr>
                <w:rFonts w:hint="eastAsia"/>
                <w:color w:val="auto"/>
              </w:rPr>
            </w:pPr>
            <w:r>
              <w:rPr>
                <w:rFonts w:hint="eastAsia"/>
                <w:color w:val="auto"/>
              </w:rPr>
              <w:t>3.产品支持路由模式、透明模式、虚拟网线模式、旁路镜像模式等多种部署方式；</w:t>
            </w:r>
          </w:p>
          <w:p w14:paraId="3E440859">
            <w:pPr>
              <w:rPr>
                <w:rFonts w:hint="eastAsia"/>
                <w:color w:val="auto"/>
              </w:rPr>
            </w:pPr>
            <w:r>
              <w:rPr>
                <w:rFonts w:hint="eastAsia"/>
                <w:color w:val="auto"/>
              </w:rPr>
              <w:t>4.产品支持虚拟防火墙功能，支持虚拟防火墙的创建和删除，具备独立的接口、会话管理、应用控制策略、NAT等资源；</w:t>
            </w:r>
            <w:bookmarkStart w:id="0" w:name="_GoBack"/>
            <w:bookmarkEnd w:id="0"/>
          </w:p>
          <w:p w14:paraId="26A68493">
            <w:pPr>
              <w:rPr>
                <w:rFonts w:hint="eastAsia"/>
              </w:rPr>
            </w:pPr>
            <w:r>
              <w:rPr>
                <w:rFonts w:hint="eastAsia"/>
                <w:color w:val="auto"/>
              </w:rPr>
              <w:t>5.产品支持链路连通性检查功能，</w:t>
            </w:r>
            <w:r>
              <w:rPr>
                <w:rFonts w:hint="eastAsia"/>
              </w:rPr>
              <w:t>支持基于3种以上协议对链路连通性进行探测，探测协议至少包括DNS解析、ARP探测、PING和BFD等方式；</w:t>
            </w:r>
          </w:p>
          <w:p w14:paraId="3A174F16">
            <w:pPr>
              <w:rPr>
                <w:rFonts w:hint="eastAsia"/>
              </w:rPr>
            </w:pPr>
            <w:r>
              <w:rPr>
                <w:rFonts w:hint="eastAsia"/>
              </w:rPr>
              <w:t>6.产品支持僵尸主机检测功能，产品内置僵尸网络特征库超过120万种，可识别主机的异常外联行为；</w:t>
            </w:r>
          </w:p>
          <w:p w14:paraId="1FF300FD">
            <w:pPr>
              <w:rPr>
                <w:rFonts w:hint="eastAsia"/>
              </w:rPr>
            </w:pPr>
            <w:r>
              <w:rPr>
                <w:rFonts w:hint="eastAsia"/>
              </w:rPr>
              <w:t>7.产品内置超过16000种漏洞规则，同时支持在控制台界面通过漏洞ID、漏洞名称、危险等级、漏洞CVE标识、漏洞描述等条件查询漏洞特征信息，支持用户自定义IPS规则；</w:t>
            </w:r>
          </w:p>
          <w:p w14:paraId="0CF6F004">
            <w:pPr>
              <w:rPr>
                <w:rFonts w:hint="eastAsia"/>
              </w:rPr>
            </w:pPr>
            <w:r>
              <w:rPr>
                <w:rFonts w:hint="eastAsia"/>
              </w:rPr>
              <w:t>8.产品支持扩展4500种WEB应用攻击特征，支持对跨站脚本（XSS）攻击、SQL注入、文件包含攻击、信息泄露攻击、WEBSHELL、网站扫描、网页木马等攻击类型进行防护；</w:t>
            </w:r>
          </w:p>
          <w:p w14:paraId="5D367076">
            <w:pPr>
              <w:rPr>
                <w:rFonts w:hint="eastAsia"/>
              </w:rPr>
            </w:pPr>
            <w:r>
              <w:rPr>
                <w:rFonts w:hint="eastAsia"/>
              </w:rPr>
              <w:t>9.产品支持扩展云威胁情报网关技术，实现对威胁流量就近进行实时检测&amp;拦截，实现失陷外联实时阻断，保护资产安全；</w:t>
            </w:r>
          </w:p>
          <w:p w14:paraId="50D83814">
            <w:pPr>
              <w:rPr>
                <w:rFonts w:hint="eastAsia"/>
              </w:rPr>
            </w:pPr>
            <w:r>
              <w:rPr>
                <w:rFonts w:hint="eastAsia"/>
              </w:rPr>
              <w:t>10.产品支持策略生命周期管理功能，支持对安全策略修改的时间、原因、变更类型进行统一管理，便于策略的运维与管理；</w:t>
            </w:r>
          </w:p>
          <w:p w14:paraId="6506FB5E">
            <w:pPr>
              <w:rPr>
                <w:rFonts w:hint="eastAsia"/>
              </w:rPr>
            </w:pPr>
            <w:r>
              <w:rPr>
                <w:rFonts w:hint="eastAsia"/>
              </w:rPr>
              <w:t>11.产品支持开放API端口与我院现有终端安全软件联动管理，在防火墙产品完成终端安全策略设置和内网终端安全软件的统一管理，支持检测到某主机有僵木蠕毒的C2通信时，手动或自动化将恶意域名信息下发到终端安全软件做C2通信的封锁遏制，支持管理员下发一键隔离指令，对终端恶意文件进行隔离；（提供产品界面截图并加盖投标人公章）</w:t>
            </w:r>
          </w:p>
          <w:p w14:paraId="7655EA46">
            <w:pPr>
              <w:rPr>
                <w:rFonts w:hint="eastAsia"/>
              </w:rPr>
            </w:pPr>
            <w:r>
              <w:rPr>
                <w:rFonts w:hint="eastAsia"/>
              </w:rPr>
              <w:t>12.产品支持开放API端口与我院态势感知平台、安服平台联动，将本地防火墙产品产生的安全日志等数据上报至态势感知平台，并在态势感知平台进行威胁展示；（提供产品界面截图并加盖投标人公章）</w:t>
            </w:r>
          </w:p>
        </w:tc>
        <w:tc>
          <w:tcPr>
            <w:tcW w:w="808" w:type="dxa"/>
            <w:tcBorders>
              <w:top w:val="single" w:color="auto" w:sz="4" w:space="0"/>
              <w:left w:val="single" w:color="auto" w:sz="4" w:space="0"/>
              <w:bottom w:val="single" w:color="auto" w:sz="4" w:space="0"/>
              <w:right w:val="single" w:color="auto" w:sz="4" w:space="0"/>
            </w:tcBorders>
            <w:noWrap w:val="0"/>
            <w:vAlign w:val="center"/>
          </w:tcPr>
          <w:p w14:paraId="4A14654B">
            <w:pPr>
              <w:jc w:val="center"/>
              <w:rPr>
                <w:rFonts w:hint="eastAsia"/>
                <w:lang w:val="en-US" w:eastAsia="zh-CN"/>
              </w:rPr>
            </w:pPr>
            <w:r>
              <w:rPr>
                <w:rFonts w:hint="eastAsia"/>
              </w:rPr>
              <w:t>9</w:t>
            </w:r>
            <w:r>
              <w:rPr>
                <w:rFonts w:hint="eastAsia" w:eastAsia="宋体"/>
                <w:lang w:val="en-US" w:eastAsia="zh-CN"/>
              </w:rPr>
              <w:t>60</w:t>
            </w:r>
            <w:r>
              <w:rPr>
                <w:rFonts w:hint="eastAsia"/>
              </w:rPr>
              <w:t>00</w:t>
            </w:r>
          </w:p>
        </w:tc>
        <w:tc>
          <w:tcPr>
            <w:tcW w:w="438" w:type="dxa"/>
            <w:tcBorders>
              <w:top w:val="single" w:color="auto" w:sz="4" w:space="0"/>
              <w:left w:val="single" w:color="auto" w:sz="4" w:space="0"/>
              <w:bottom w:val="single" w:color="auto" w:sz="4" w:space="0"/>
              <w:right w:val="single" w:color="auto" w:sz="4" w:space="0"/>
            </w:tcBorders>
            <w:noWrap w:val="0"/>
            <w:vAlign w:val="center"/>
          </w:tcPr>
          <w:p w14:paraId="063E94DD">
            <w:pPr>
              <w:jc w:val="center"/>
              <w:rPr>
                <w:rFonts w:hint="eastAsia"/>
                <w:lang w:val="en-US" w:eastAsia="zh-CN"/>
              </w:rPr>
            </w:pPr>
            <w:r>
              <w:rPr>
                <w:rFonts w:hint="eastAsia"/>
                <w:lang w:val="en-US" w:eastAsia="zh-CN"/>
              </w:rPr>
              <w:t>1</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69B11238">
            <w:pPr>
              <w:jc w:val="center"/>
              <w:rPr>
                <w:rFonts w:hint="eastAsia"/>
                <w:lang w:val="en-US" w:eastAsia="zh-CN"/>
              </w:rPr>
            </w:pPr>
            <w:r>
              <w:rPr>
                <w:rFonts w:hint="eastAsia"/>
              </w:rPr>
              <w:t>9</w:t>
            </w:r>
            <w:r>
              <w:rPr>
                <w:rFonts w:hint="eastAsia" w:eastAsia="宋体"/>
                <w:lang w:val="en-US" w:eastAsia="zh-CN"/>
              </w:rPr>
              <w:t>60</w:t>
            </w:r>
            <w:r>
              <w:rPr>
                <w:rFonts w:hint="eastAsia"/>
              </w:rPr>
              <w:t>00</w:t>
            </w:r>
          </w:p>
        </w:tc>
      </w:tr>
    </w:tbl>
    <w:p w14:paraId="69E57D28"/>
    <w:p w14:paraId="3F900029">
      <w:pPr>
        <w:pStyle w:val="2"/>
      </w:pPr>
    </w:p>
    <w:p w14:paraId="49DA58E0">
      <w:pPr>
        <w:pStyle w:val="3"/>
      </w:pPr>
    </w:p>
    <w:p w14:paraId="5A443F2E"/>
    <w:p w14:paraId="0F06D033">
      <w:pPr>
        <w:pStyle w:val="2"/>
      </w:pPr>
    </w:p>
    <w:p w14:paraId="0C45F37E">
      <w:pPr>
        <w:pStyle w:val="3"/>
      </w:pPr>
    </w:p>
    <w:p w14:paraId="588C421A"/>
    <w:p w14:paraId="37538E9E">
      <w:pPr>
        <w:pStyle w:val="2"/>
      </w:pPr>
    </w:p>
    <w:p w14:paraId="3ED00BF0">
      <w:pPr>
        <w:pStyle w:val="3"/>
      </w:pPr>
    </w:p>
    <w:tbl>
      <w:tblPr>
        <w:tblStyle w:val="10"/>
        <w:tblpPr w:leftFromText="180" w:rightFromText="180" w:vertAnchor="page" w:horzAnchor="page" w:tblpX="1579" w:tblpY="4344"/>
        <w:tblOverlap w:val="never"/>
        <w:tblW w:w="501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403"/>
        <w:gridCol w:w="6930"/>
      </w:tblGrid>
      <w:tr w14:paraId="100A7B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 w:hRule="atLeast"/>
        </w:trPr>
        <w:tc>
          <w:tcPr>
            <w:tcW w:w="842" w:type="pct"/>
            <w:vAlign w:val="center"/>
          </w:tcPr>
          <w:p w14:paraId="5A95A4C1">
            <w:pPr>
              <w:jc w:val="center"/>
            </w:pPr>
            <w:r>
              <w:t>项目</w:t>
            </w:r>
          </w:p>
        </w:tc>
        <w:tc>
          <w:tcPr>
            <w:tcW w:w="4157" w:type="pct"/>
            <w:vAlign w:val="center"/>
          </w:tcPr>
          <w:p w14:paraId="45A3BA6A">
            <w:pPr>
              <w:jc w:val="both"/>
            </w:pPr>
            <w:r>
              <w:t>谈判文件商务条款要求</w:t>
            </w:r>
          </w:p>
        </w:tc>
      </w:tr>
      <w:tr w14:paraId="0A5675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842" w:type="pct"/>
            <w:vAlign w:val="center"/>
          </w:tcPr>
          <w:p w14:paraId="7C1FCDDA">
            <w:pPr>
              <w:jc w:val="center"/>
            </w:pPr>
            <w:r>
              <w:t>合同签订时间</w:t>
            </w:r>
          </w:p>
        </w:tc>
        <w:tc>
          <w:tcPr>
            <w:tcW w:w="4157" w:type="pct"/>
            <w:vAlign w:val="center"/>
          </w:tcPr>
          <w:p w14:paraId="655562A3">
            <w:pPr>
              <w:jc w:val="both"/>
            </w:pPr>
            <w:r>
              <w:t>成交通知书发出之日起15日内</w:t>
            </w:r>
          </w:p>
        </w:tc>
      </w:tr>
      <w:tr w14:paraId="3A1582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842" w:type="pct"/>
            <w:vAlign w:val="center"/>
          </w:tcPr>
          <w:p w14:paraId="7584F4A3">
            <w:pPr>
              <w:jc w:val="center"/>
            </w:pPr>
            <w:r>
              <w:t>交付时间</w:t>
            </w:r>
          </w:p>
        </w:tc>
        <w:tc>
          <w:tcPr>
            <w:tcW w:w="4157" w:type="pct"/>
            <w:vAlign w:val="center"/>
          </w:tcPr>
          <w:p w14:paraId="4DDF278A">
            <w:pPr>
              <w:jc w:val="both"/>
            </w:pPr>
            <w:r>
              <w:t>白签订合同之日起60日(日历日)内，通过验收并交付使用</w:t>
            </w:r>
          </w:p>
        </w:tc>
      </w:tr>
      <w:tr w14:paraId="741288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842" w:type="pct"/>
            <w:vAlign w:val="center"/>
          </w:tcPr>
          <w:p w14:paraId="65E004D5">
            <w:pPr>
              <w:jc w:val="center"/>
            </w:pPr>
            <w:r>
              <w:t>交货地点</w:t>
            </w:r>
          </w:p>
        </w:tc>
        <w:tc>
          <w:tcPr>
            <w:tcW w:w="4157" w:type="pct"/>
            <w:vAlign w:val="center"/>
          </w:tcPr>
          <w:p w14:paraId="442E83F0">
            <w:pPr>
              <w:jc w:val="both"/>
            </w:pPr>
            <w:r>
              <w:t>广西壮族自治区江滨医院，采购人指定地点</w:t>
            </w:r>
          </w:p>
        </w:tc>
      </w:tr>
      <w:tr w14:paraId="0BA3AB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trPr>
        <w:tc>
          <w:tcPr>
            <w:tcW w:w="842" w:type="pct"/>
            <w:vMerge w:val="restart"/>
            <w:tcBorders>
              <w:bottom w:val="nil"/>
            </w:tcBorders>
            <w:vAlign w:val="center"/>
          </w:tcPr>
          <w:p w14:paraId="22B76A7E">
            <w:pPr>
              <w:jc w:val="center"/>
            </w:pPr>
            <w:r>
              <w:t>质保期</w:t>
            </w:r>
          </w:p>
        </w:tc>
        <w:tc>
          <w:tcPr>
            <w:tcW w:w="4157" w:type="pct"/>
            <w:vAlign w:val="center"/>
          </w:tcPr>
          <w:p w14:paraId="23EDA6A4">
            <w:pPr>
              <w:jc w:val="both"/>
            </w:pPr>
            <w:r>
              <w:t>自安装、验收合格并交付使用之日起</w:t>
            </w:r>
            <w:r>
              <w:rPr>
                <w:rFonts w:hint="eastAsia"/>
              </w:rPr>
              <w:t>提供产品质保和软件、规则库升级应不少于3年</w:t>
            </w:r>
            <w:r>
              <w:t>[技术参数及性能(配置)要求中有要求的按其规定],终身维修。</w:t>
            </w:r>
          </w:p>
        </w:tc>
      </w:tr>
      <w:tr w14:paraId="07214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842" w:type="pct"/>
            <w:vMerge w:val="continue"/>
            <w:tcBorders>
              <w:top w:val="nil"/>
            </w:tcBorders>
            <w:vAlign w:val="center"/>
          </w:tcPr>
          <w:p w14:paraId="44E3D27A">
            <w:pPr>
              <w:jc w:val="center"/>
            </w:pPr>
          </w:p>
        </w:tc>
        <w:tc>
          <w:tcPr>
            <w:tcW w:w="4157" w:type="pct"/>
            <w:vAlign w:val="center"/>
          </w:tcPr>
          <w:p w14:paraId="7C571142">
            <w:pPr>
              <w:jc w:val="both"/>
            </w:pPr>
            <w:r>
              <w:t>在保修期设备运行中发生问题，在接到故障通知后30分钟内响应，8小时内到达现场进行维修，按国家及行业标准对故障进行及时处理。</w:t>
            </w:r>
          </w:p>
        </w:tc>
      </w:tr>
      <w:tr w14:paraId="3C5C3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842" w:type="pct"/>
            <w:vMerge w:val="restart"/>
            <w:tcBorders>
              <w:bottom w:val="nil"/>
            </w:tcBorders>
            <w:vAlign w:val="center"/>
          </w:tcPr>
          <w:p w14:paraId="3FEB7622">
            <w:pPr>
              <w:jc w:val="center"/>
            </w:pPr>
            <w:r>
              <w:t>售后服务要求</w:t>
            </w:r>
          </w:p>
        </w:tc>
        <w:tc>
          <w:tcPr>
            <w:tcW w:w="4157" w:type="pct"/>
            <w:vAlign w:val="center"/>
          </w:tcPr>
          <w:p w14:paraId="47644119">
            <w:pPr>
              <w:jc w:val="both"/>
            </w:pPr>
            <w:r>
              <w:t>(1)按国家有关产品“三包”规定执行“三包”</w:t>
            </w:r>
          </w:p>
        </w:tc>
      </w:tr>
      <w:tr w14:paraId="59675F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842" w:type="pct"/>
            <w:vMerge w:val="continue"/>
            <w:tcBorders>
              <w:top w:val="nil"/>
              <w:bottom w:val="nil"/>
            </w:tcBorders>
            <w:vAlign w:val="center"/>
          </w:tcPr>
          <w:p w14:paraId="6ACDB774">
            <w:pPr>
              <w:jc w:val="center"/>
            </w:pPr>
          </w:p>
        </w:tc>
        <w:tc>
          <w:tcPr>
            <w:tcW w:w="4157" w:type="pct"/>
            <w:vAlign w:val="center"/>
          </w:tcPr>
          <w:p w14:paraId="1594A9C7">
            <w:pPr>
              <w:jc w:val="both"/>
            </w:pPr>
            <w:r>
              <w:t>(2)免费送货上门安装、调试，免费提供完善的设备使用、操作培训</w:t>
            </w:r>
          </w:p>
        </w:tc>
      </w:tr>
      <w:tr w14:paraId="5C9DA2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842" w:type="pct"/>
            <w:vMerge w:val="continue"/>
            <w:tcBorders>
              <w:top w:val="nil"/>
              <w:bottom w:val="nil"/>
            </w:tcBorders>
            <w:vAlign w:val="center"/>
          </w:tcPr>
          <w:p w14:paraId="2FEB8768">
            <w:pPr>
              <w:jc w:val="center"/>
            </w:pPr>
          </w:p>
        </w:tc>
        <w:tc>
          <w:tcPr>
            <w:tcW w:w="4157" w:type="pct"/>
            <w:vAlign w:val="center"/>
          </w:tcPr>
          <w:p w14:paraId="20DC3724">
            <w:pPr>
              <w:jc w:val="both"/>
            </w:pPr>
            <w:r>
              <w:t>(3)免费技术咨询、方案推荐</w:t>
            </w:r>
          </w:p>
        </w:tc>
      </w:tr>
      <w:tr w14:paraId="2D680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842" w:type="pct"/>
            <w:vMerge w:val="continue"/>
            <w:tcBorders>
              <w:top w:val="nil"/>
              <w:bottom w:val="nil"/>
            </w:tcBorders>
            <w:vAlign w:val="center"/>
          </w:tcPr>
          <w:p w14:paraId="5C1E2BD3">
            <w:pPr>
              <w:jc w:val="center"/>
            </w:pPr>
          </w:p>
        </w:tc>
        <w:tc>
          <w:tcPr>
            <w:tcW w:w="4157" w:type="pct"/>
            <w:vAlign w:val="center"/>
          </w:tcPr>
          <w:p w14:paraId="41BC0E1A">
            <w:pPr>
              <w:jc w:val="both"/>
            </w:pPr>
            <w:r>
              <w:t>(4)定期回访以及对设备维修</w:t>
            </w:r>
          </w:p>
        </w:tc>
      </w:tr>
      <w:tr w14:paraId="597718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842" w:type="pct"/>
            <w:vMerge w:val="continue"/>
            <w:tcBorders>
              <w:top w:val="nil"/>
            </w:tcBorders>
            <w:vAlign w:val="center"/>
          </w:tcPr>
          <w:p w14:paraId="5648F622">
            <w:pPr>
              <w:jc w:val="center"/>
            </w:pPr>
          </w:p>
        </w:tc>
        <w:tc>
          <w:tcPr>
            <w:tcW w:w="4157" w:type="pct"/>
            <w:vAlign w:val="center"/>
          </w:tcPr>
          <w:p w14:paraId="38787F91">
            <w:pPr>
              <w:jc w:val="both"/>
            </w:pPr>
            <w:r>
              <w:t>(5)提供终身维护。</w:t>
            </w:r>
          </w:p>
        </w:tc>
      </w:tr>
      <w:tr w14:paraId="02600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6" w:hRule="atLeast"/>
        </w:trPr>
        <w:tc>
          <w:tcPr>
            <w:tcW w:w="842" w:type="pct"/>
            <w:vAlign w:val="center"/>
          </w:tcPr>
          <w:p w14:paraId="64234F58">
            <w:pPr>
              <w:jc w:val="center"/>
            </w:pPr>
            <w:r>
              <w:t>竞标报价</w:t>
            </w:r>
          </w:p>
        </w:tc>
        <w:tc>
          <w:tcPr>
            <w:tcW w:w="4157" w:type="pct"/>
            <w:vAlign w:val="center"/>
          </w:tcPr>
          <w:p w14:paraId="5ECDCD8C">
            <w:pPr>
              <w:jc w:val="both"/>
            </w:pPr>
            <w:r>
              <w:t>竞标报价含货物、随配附件、备品备件、工具、运抵指定交货地点、现场安装调试的各种费用、施工配合费和售后服务、税金，产品抽样检测费及其他所有成本费用的总和及采购文件所要求的相关服务以及合同所示全部责任、义务和一般风险等全过程产生的所有成本和费用以及一切税费，对采购的全部货物进行完整唯一报价。</w:t>
            </w:r>
          </w:p>
        </w:tc>
      </w:tr>
      <w:tr w14:paraId="54F57B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842" w:type="pct"/>
            <w:vAlign w:val="center"/>
          </w:tcPr>
          <w:p w14:paraId="6C08DD9E">
            <w:pPr>
              <w:jc w:val="center"/>
            </w:pPr>
            <w:r>
              <w:t>付款方式</w:t>
            </w:r>
          </w:p>
        </w:tc>
        <w:tc>
          <w:tcPr>
            <w:tcW w:w="4157" w:type="pct"/>
            <w:vAlign w:val="center"/>
          </w:tcPr>
          <w:p w14:paraId="0FF8CB4C">
            <w:pPr>
              <w:jc w:val="both"/>
            </w:pPr>
            <w:r>
              <w:t>交货验收合格后4个月内采购人支付95%货款，剩余5%货款在质保期满后，经双方检查确认无质量问题后，3个月内付清5%余款(不计利息)</w:t>
            </w:r>
          </w:p>
        </w:tc>
      </w:tr>
      <w:tr w14:paraId="119718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842" w:type="pct"/>
            <w:vAlign w:val="center"/>
          </w:tcPr>
          <w:p w14:paraId="5D994C89">
            <w:pPr>
              <w:jc w:val="center"/>
            </w:pPr>
            <w:r>
              <w:t>竞标产品</w:t>
            </w:r>
          </w:p>
        </w:tc>
        <w:tc>
          <w:tcPr>
            <w:tcW w:w="4157" w:type="pct"/>
            <w:vAlign w:val="center"/>
          </w:tcPr>
          <w:p w14:paraId="307567BD">
            <w:pPr>
              <w:jc w:val="both"/>
            </w:pPr>
            <w:r>
              <w:t>必须为全新原装产品，中标供应商所提供的产品、资料等要满足中华人民共和国的相应标准</w:t>
            </w:r>
          </w:p>
        </w:tc>
      </w:tr>
      <w:tr w14:paraId="6F6D0F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842" w:type="pct"/>
            <w:shd w:val="clear" w:color="auto" w:fill="auto"/>
            <w:vAlign w:val="center"/>
          </w:tcPr>
          <w:p w14:paraId="7D4BC826">
            <w:pPr>
              <w:jc w:val="center"/>
              <w:rPr>
                <w:lang w:val="en-US" w:eastAsia="en-US"/>
              </w:rPr>
            </w:pPr>
            <w:r>
              <w:t>验收</w:t>
            </w:r>
          </w:p>
        </w:tc>
        <w:tc>
          <w:tcPr>
            <w:tcW w:w="4157" w:type="pct"/>
            <w:shd w:val="clear" w:color="auto" w:fill="auto"/>
            <w:vAlign w:val="center"/>
          </w:tcPr>
          <w:p w14:paraId="658F2EE6">
            <w:pPr>
              <w:jc w:val="both"/>
              <w:rPr>
                <w:lang w:val="en-US" w:eastAsia="en-US"/>
              </w:rPr>
            </w:pPr>
            <w:r>
              <w:t>验收标准应符合中国有关的国家、地方、行业标准</w:t>
            </w:r>
          </w:p>
        </w:tc>
      </w:tr>
      <w:tr w14:paraId="5FAFB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8" w:hRule="atLeast"/>
        </w:trPr>
        <w:tc>
          <w:tcPr>
            <w:tcW w:w="842" w:type="pct"/>
            <w:shd w:val="clear" w:color="auto" w:fill="auto"/>
            <w:vAlign w:val="center"/>
          </w:tcPr>
          <w:p w14:paraId="2B994EF9">
            <w:pPr>
              <w:jc w:val="center"/>
              <w:rPr>
                <w:lang w:val="en-US" w:eastAsia="en-US"/>
              </w:rPr>
            </w:pPr>
            <w:r>
              <w:t>测试及检验</w:t>
            </w:r>
          </w:p>
        </w:tc>
        <w:tc>
          <w:tcPr>
            <w:tcW w:w="4157" w:type="pct"/>
            <w:shd w:val="clear" w:color="auto" w:fill="auto"/>
            <w:vAlign w:val="center"/>
          </w:tcPr>
          <w:p w14:paraId="398BF389">
            <w:pPr>
              <w:jc w:val="both"/>
              <w:rPr>
                <w:lang w:val="en-US" w:eastAsia="en-US"/>
              </w:rPr>
            </w:pPr>
            <w:r>
              <w:t>检验和测试在产品使用地进行；如杲任何被检验或测试的产品不能满足采购要求的，采购人可以拒绝接受该产品，中标供应商需承担被采购人终止合同的一切风险和费用</w:t>
            </w:r>
          </w:p>
        </w:tc>
      </w:tr>
      <w:tr w14:paraId="468788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842" w:type="pct"/>
            <w:shd w:val="clear" w:color="auto" w:fill="auto"/>
            <w:vAlign w:val="center"/>
          </w:tcPr>
          <w:p w14:paraId="76816219">
            <w:pPr>
              <w:jc w:val="center"/>
              <w:rPr>
                <w:lang w:val="en-US" w:eastAsia="en-US"/>
              </w:rPr>
            </w:pPr>
            <w:r>
              <w:t>备品备件及耗材等要求</w:t>
            </w:r>
          </w:p>
        </w:tc>
        <w:tc>
          <w:tcPr>
            <w:tcW w:w="4157" w:type="pct"/>
            <w:shd w:val="clear" w:color="auto" w:fill="auto"/>
            <w:vAlign w:val="center"/>
          </w:tcPr>
          <w:p w14:paraId="1EF4D349">
            <w:pPr>
              <w:jc w:val="both"/>
              <w:rPr>
                <w:lang w:val="en-US" w:eastAsia="en-US"/>
              </w:rPr>
            </w:pPr>
            <w:r>
              <w:t>设备安装时所需的备品备件及耗材由中标供应商免费提供</w:t>
            </w:r>
          </w:p>
        </w:tc>
      </w:tr>
    </w:tbl>
    <w:p w14:paraId="502D1AF6"/>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022AF0"/>
    <w:rsid w:val="046441B2"/>
    <w:rsid w:val="0EC7484A"/>
    <w:rsid w:val="0F5008A2"/>
    <w:rsid w:val="17413693"/>
    <w:rsid w:val="48C02491"/>
    <w:rsid w:val="62441BC7"/>
    <w:rsid w:val="66022AF0"/>
    <w:rsid w:val="665A717C"/>
    <w:rsid w:val="69F601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toc 2"/>
    <w:basedOn w:val="1"/>
    <w:next w:val="1"/>
    <w:semiHidden/>
    <w:qFormat/>
    <w:uiPriority w:val="0"/>
    <w:pPr>
      <w:ind w:left="4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Table Text"/>
    <w:basedOn w:val="1"/>
    <w:semiHidden/>
    <w:qFormat/>
    <w:uiPriority w:val="0"/>
    <w:rPr>
      <w:rFonts w:ascii="宋体" w:hAnsi="宋体" w:eastAsia="宋体" w:cs="宋体"/>
      <w:sz w:val="16"/>
      <w:szCs w:val="16"/>
      <w:lang w:val="en-US" w:eastAsia="en-US" w:bidi="ar-SA"/>
    </w:rPr>
  </w:style>
  <w:style w:type="table" w:customStyle="1" w:styleId="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1517</Words>
  <Characters>1621</Characters>
  <Lines>0</Lines>
  <Paragraphs>0</Paragraphs>
  <TotalTime>20</TotalTime>
  <ScaleCrop>false</ScaleCrop>
  <LinksUpToDate>false</LinksUpToDate>
  <CharactersWithSpaces>1621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2026-04-21T09:53:00Z</dcterms:created>
  <dc:creator>魔羽魔罗</dc:creator>
  <cp:lastModifiedBy>魔羽魔罗</cp:lastModifiedBy>
  <dcterms:modified xsi:type="dcterms:W3CDTF">2026-04-22T07:11:54Z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39490DF1B76E4298B800157660B9D699_11</vt:lpwstr>
  </property>
  <property fmtid="{D5CDD505-2E9C-101B-9397-08002B2CF9AE}" pid="4" name="KSOTemplateDocerSaveRecord">
    <vt:lpwstr>eyJoZGlkIjoiNTMyNTNlZWRmYWI2YzY1ZTEyZmZiODZiYTk2ODZkNWUiLCJ1c2VySWQiOiIzMjY0NzE5In0=</vt:lpwstr>
  </property>
</Properties>
</file>