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3"/>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color w:val="auto"/>
          <w:sz w:val="48"/>
          <w:szCs w:val="48"/>
        </w:rPr>
      </w:pPr>
      <w:r>
        <w:rPr>
          <w:rFonts w:hint="eastAsia" w:ascii="方正小标宋简体" w:hAnsi="方正小标宋简体" w:eastAsia="方正小标宋简体" w:cs="方正小标宋简体"/>
          <w:b/>
          <w:bCs/>
          <w:color w:val="auto"/>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color w:val="auto"/>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color w:val="auto"/>
          <w:kern w:val="0"/>
          <w:sz w:val="28"/>
          <w:szCs w:val="28"/>
        </w:rPr>
      </w:pPr>
      <w:r>
        <w:rPr>
          <w:rFonts w:hint="eastAsia" w:ascii="方正仿宋_GB2312" w:hAnsi="方正仿宋_GB2312" w:eastAsia="方正仿宋_GB2312" w:cs="方正仿宋_GB2312"/>
          <w:b/>
          <w:color w:val="auto"/>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2"/>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auto"/>
          <w:kern w:val="0"/>
          <w:sz w:val="28"/>
          <w:szCs w:val="28"/>
          <w:lang w:val="en-US" w:eastAsia="zh-CN" w:bidi="ar-SA"/>
          <w:woUserID w:val="2"/>
        </w:rPr>
      </w:pPr>
      <w:r>
        <w:rPr>
          <w:rFonts w:hint="eastAsia" w:ascii="方正仿宋_GB2312" w:hAnsi="方正仿宋_GB2312" w:eastAsia="方正仿宋_GB2312" w:cs="方正仿宋_GB2312"/>
          <w:b w:val="0"/>
          <w:bCs w:val="0"/>
          <w:color w:val="auto"/>
          <w:sz w:val="28"/>
          <w:szCs w:val="28"/>
        </w:rPr>
        <w:t>7、</w:t>
      </w:r>
      <w:r>
        <w:rPr>
          <w:rFonts w:hint="eastAsia" w:ascii="方正仿宋_GB2312" w:hAnsi="方正仿宋_GB2312" w:eastAsia="方正仿宋_GB2312" w:cs="方正仿宋_GB2312"/>
          <w:b/>
          <w:bCs/>
          <w:snapToGrid w:val="0"/>
          <w:color w:val="auto"/>
          <w:kern w:val="0"/>
          <w:sz w:val="28"/>
          <w:szCs w:val="28"/>
          <w:lang w:val="en-US" w:eastAsia="zh-CN" w:bidi="ar-SA"/>
          <w:woUserID w:val="2"/>
        </w:rPr>
        <w:t>未标注符号的技术参数为非实质性参数，不满足仅作扣分处理。非实质性技术参数发生负偏离或不响应达3项（含）以上的，投标无效。</w:t>
      </w:r>
    </w:p>
    <w:p w14:paraId="69B6EA2C">
      <w:pPr>
        <w:pStyle w:val="2"/>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实质性参数（标注“▲”的条款）需提供证明材料：</w:t>
      </w:r>
      <w:r>
        <w:rPr>
          <w:rFonts w:hint="eastAsia" w:ascii="方正仿宋_GB2312" w:hAnsi="方正仿宋_GB2312" w:eastAsia="方正仿宋_GB2312" w:cs="方正仿宋_GB2312"/>
          <w:b/>
          <w:bCs/>
          <w:color w:val="auto"/>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2"/>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pacing w:val="-57"/>
          <w:sz w:val="28"/>
          <w:szCs w:val="28"/>
        </w:rPr>
        <w:t>、</w:t>
      </w:r>
      <w:r>
        <w:rPr>
          <w:rFonts w:hint="eastAsia" w:ascii="方正仿宋_GB2312" w:hAnsi="方正仿宋_GB2312" w:eastAsia="方正仿宋_GB2312" w:cs="方正仿宋_GB2312"/>
          <w:color w:val="auto"/>
          <w:sz w:val="28"/>
          <w:szCs w:val="28"/>
        </w:rPr>
        <w:t>招标文件中所要求提供的证明材料，如为英文文本的请提供中文翻译文本。</w:t>
      </w:r>
    </w:p>
    <w:p w14:paraId="16894D3F">
      <w:pPr>
        <w:pStyle w:val="2"/>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color w:val="auto"/>
          <w:sz w:val="28"/>
          <w:szCs w:val="28"/>
          <w:lang w:eastAsia="zh-CN"/>
          <w:woUserID w:val="2"/>
        </w:rPr>
      </w:pPr>
      <w:r>
        <w:rPr>
          <w:rFonts w:hint="eastAsia" w:ascii="方正仿宋_GB2312" w:hAnsi="方正仿宋_GB2312" w:eastAsia="方正仿宋_GB2312" w:cs="方正仿宋_GB2312"/>
          <w:color w:val="auto"/>
          <w:sz w:val="28"/>
          <w:szCs w:val="28"/>
          <w:woUserID w:val="2"/>
        </w:rPr>
        <w:t>10、本项目中小企业划分标准所属行业名称：工业</w:t>
      </w:r>
      <w:r>
        <w:rPr>
          <w:rFonts w:hint="eastAsia" w:ascii="方正仿宋_GB2312" w:hAnsi="方正仿宋_GB2312" w:eastAsia="方正仿宋_GB2312" w:cs="方正仿宋_GB2312"/>
          <w:color w:val="auto"/>
          <w:sz w:val="28"/>
          <w:szCs w:val="28"/>
          <w:lang w:eastAsia="zh-CN"/>
          <w:woUserID w:val="2"/>
        </w:rPr>
        <w:t>。</w:t>
      </w:r>
    </w:p>
    <w:p w14:paraId="2E422E03">
      <w:pPr>
        <w:pStyle w:val="2"/>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color w:val="auto"/>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color w:val="auto"/>
          <w:kern w:val="0"/>
          <w:sz w:val="28"/>
          <w:szCs w:val="28"/>
        </w:rPr>
      </w:pPr>
      <w:r>
        <w:rPr>
          <w:rFonts w:hint="eastAsia" w:ascii="方正仿宋_GB2312" w:hAnsi="方正仿宋_GB2312" w:eastAsia="方正仿宋_GB2312" w:cs="方正仿宋_GB2312"/>
          <w:b/>
          <w:color w:val="auto"/>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1.项目名称：无创呼吸机采购项目</w:t>
      </w:r>
    </w:p>
    <w:p w14:paraId="3650C938">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2.招标采购预算：拟定控制价为3万元/套，数量2套，合计6万元</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老年康复科：2025年中央补助老年健康服务和医养结合项目专项资金专项经费</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3.质保要求：整套设备质保期≥3年</w:t>
      </w:r>
    </w:p>
    <w:p w14:paraId="6A31506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4.申请科室：老年康复科、肿瘤科</w:t>
      </w:r>
    </w:p>
    <w:tbl>
      <w:tblPr>
        <w:tblStyle w:val="6"/>
        <w:tblW w:w="10292" w:type="dxa"/>
        <w:tblInd w:w="-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130"/>
        <w:gridCol w:w="8308"/>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4"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名称</w:t>
            </w:r>
          </w:p>
        </w:tc>
        <w:tc>
          <w:tcPr>
            <w:tcW w:w="1130"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w:t>
            </w:r>
          </w:p>
        </w:tc>
        <w:tc>
          <w:tcPr>
            <w:tcW w:w="8308"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4"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p>
          <w:p w14:paraId="78A81F68">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p>
          <w:p w14:paraId="022AB4B9">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无</w:t>
            </w:r>
          </w:p>
          <w:p w14:paraId="27BD3D7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创</w:t>
            </w:r>
          </w:p>
          <w:p w14:paraId="5AF70ADB">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呼</w:t>
            </w:r>
          </w:p>
          <w:p w14:paraId="1675AE46">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吸</w:t>
            </w:r>
          </w:p>
          <w:p w14:paraId="742FB1CE">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机</w:t>
            </w:r>
          </w:p>
          <w:p w14:paraId="76D3A71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采</w:t>
            </w:r>
          </w:p>
          <w:p w14:paraId="1972D9A0">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购</w:t>
            </w:r>
          </w:p>
          <w:p w14:paraId="19AF9A9A">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项</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目</w:t>
            </w: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sz w:val="28"/>
                <w:szCs w:val="28"/>
                <w:lang w:val="en-US" w:eastAsia="zh-CN"/>
              </w:rPr>
            </w:pPr>
          </w:p>
        </w:tc>
        <w:tc>
          <w:tcPr>
            <w:tcW w:w="1130"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2</w:t>
            </w:r>
          </w:p>
        </w:tc>
        <w:tc>
          <w:tcPr>
            <w:tcW w:w="8308" w:type="dxa"/>
          </w:tcPr>
          <w:p w14:paraId="2154B77F">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参数要求</w:t>
            </w:r>
          </w:p>
          <w:p w14:paraId="2DB0456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▲1.适用范围：对成人和小儿患者进行通气辅助及呼吸支持；</w:t>
            </w:r>
          </w:p>
          <w:p w14:paraId="53A7CD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▲2.具备无创通气模式和HFNC经鼻高流量氧疗模式。</w:t>
            </w:r>
          </w:p>
          <w:p w14:paraId="728AD814">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auto"/>
                <w:kern w:val="0"/>
                <w:sz w:val="22"/>
                <w:szCs w:val="22"/>
                <w:u w:val="none"/>
                <w:lang w:val="en-US" w:eastAsia="zh-CN" w:bidi="ar"/>
              </w:rPr>
              <w:t>▲3.屏幕：彩色液晶屏≥4.3英寸，可实时显示呼吸参数、报警信息、波形图。</w:t>
            </w:r>
          </w:p>
          <w:p w14:paraId="4F3C17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▲4.配湿化器，加湿等级可调。</w:t>
            </w:r>
          </w:p>
          <w:p w14:paraId="6EADB670">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5.主机电动电控。</w:t>
            </w:r>
          </w:p>
          <w:p w14:paraId="192A0452">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6.配备锂电池，可以移动。</w:t>
            </w:r>
          </w:p>
          <w:p w14:paraId="6C1DDCD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▲7.趋势回顾：可回顾 72小时的历史治疗图，至少保存72小时通气数据。</w:t>
            </w:r>
          </w:p>
          <w:p w14:paraId="792873C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▲8.标配的通气模式具备以下三项之一：</w:t>
            </w:r>
          </w:p>
          <w:p w14:paraId="64958799">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①通气模式标配：持续气道正压通气模式(CPAP 模式)、自主呼吸模式(S 模式)、时间控制模式(T 模式)、自主呼吸/时间控制模式(S/T 模式)、压力控制模式PCV、智能压力控制容量保证模式VGPS、HFNC经鼻高流量氧疗模式。</w:t>
            </w:r>
          </w:p>
          <w:p w14:paraId="021F972C">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②通气模式标配至少包含：持续气道正压通气模式（CPAP）；自主模式（S）；自主/时控模式（S/T）；压力控制模式(PCV)；容量保证压力支持模式（VAPS）；容量保证时间控制模式（VG-T）；压力调节容量控制模式（PRVC）、HFNC经鼻高流量氧疗模式。</w:t>
            </w:r>
          </w:p>
          <w:p w14:paraId="19818A17">
            <w:pPr>
              <w:keepNext w:val="0"/>
              <w:keepLines w:val="0"/>
              <w:widowControl/>
              <w:suppressLineNumbers w:val="0"/>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③通气模式标配：CPAP 持续气道正压通气模式、S 自主通气模式、T 控制通气模式、S/T 自主/控制通气模式 、S/T+自主/控制+通气模式、PAC 压力辅助控制通气模式、VAPS容量保障压力支持通气模式、HFNC经鼻高流量氧疗模式</w:t>
            </w:r>
            <w:bookmarkStart w:id="0" w:name="_GoBack"/>
            <w:bookmarkEnd w:id="0"/>
            <w:r>
              <w:rPr>
                <w:rFonts w:hint="eastAsia" w:ascii="宋体" w:hAnsi="宋体" w:eastAsia="宋体" w:cs="宋体"/>
                <w:i w:val="0"/>
                <w:iCs w:val="0"/>
                <w:color w:val="auto"/>
                <w:kern w:val="0"/>
                <w:sz w:val="22"/>
                <w:szCs w:val="22"/>
                <w:u w:val="none"/>
                <w:lang w:val="en-US" w:eastAsia="zh-CN" w:bidi="ar"/>
              </w:rPr>
              <w:t>。</w:t>
            </w:r>
          </w:p>
          <w:p w14:paraId="0B3E9B11">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9.设置参数要求：</w:t>
            </w:r>
          </w:p>
          <w:p w14:paraId="044FD46A">
            <w:pPr>
              <w:keepNext w:val="0"/>
              <w:keepLines w:val="0"/>
              <w:widowControl/>
              <w:suppressLineNumbers w:val="0"/>
              <w:ind w:left="220" w:hanging="220" w:hanging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▲9.1压力范围：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持续气道压力（CPAP)至少包含： 4cmH₂O～20cmH₂O,</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呼气压力(EPAP)至少包含：4cmH₂O～25cmH₂O,</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吸气压力(IPAP)至少包含：4cmH₂O～40cmH₂O。</w:t>
            </w:r>
          </w:p>
          <w:p w14:paraId="302820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▲9.2呼吸频率设置范围:至少包含3～60 次/分。</w:t>
            </w:r>
          </w:p>
          <w:p w14:paraId="1F077F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11"/>
                <w:color w:val="auto"/>
                <w:lang w:val="en-US" w:eastAsia="zh-CN" w:bidi="ar"/>
              </w:rPr>
              <w:t>▲9.3潮气量设置范围至少包括</w:t>
            </w:r>
            <w:r>
              <w:rPr>
                <w:rStyle w:val="12"/>
                <w:rFonts w:hint="eastAsia"/>
                <w:color w:val="auto"/>
                <w:lang w:val="en-US" w:eastAsia="zh-CN" w:bidi="ar"/>
              </w:rPr>
              <w:t>1</w:t>
            </w:r>
            <w:r>
              <w:rPr>
                <w:rStyle w:val="12"/>
                <w:color w:val="auto"/>
                <w:lang w:val="en-US" w:eastAsia="zh-CN" w:bidi="ar"/>
              </w:rPr>
              <w:t>00～</w:t>
            </w:r>
            <w:r>
              <w:rPr>
                <w:rStyle w:val="12"/>
                <w:rFonts w:hint="eastAsia"/>
                <w:color w:val="auto"/>
                <w:lang w:val="en-US" w:eastAsia="zh-CN" w:bidi="ar"/>
              </w:rPr>
              <w:t>20</w:t>
            </w:r>
            <w:r>
              <w:rPr>
                <w:rStyle w:val="12"/>
                <w:color w:val="auto"/>
                <w:lang w:val="en-US" w:eastAsia="zh-CN" w:bidi="ar"/>
              </w:rPr>
              <w:t>00mL。</w:t>
            </w:r>
          </w:p>
          <w:p w14:paraId="66CE46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▲9.4吸气触发灵敏设置范围：≥6档；呼气触发灵敏设置范围：≥6档。</w:t>
            </w:r>
          </w:p>
          <w:p w14:paraId="0DCDEF92">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9.5吸气时间范围至少包含：1.0~3.0s，可调</w:t>
            </w:r>
          </w:p>
          <w:p w14:paraId="719FFB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▲9.6升压时间：≥6档可调；</w:t>
            </w:r>
          </w:p>
          <w:p w14:paraId="4C8FC2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▲9.7具备漏气补偿功能，漏气补偿≥60 L/min；</w:t>
            </w:r>
          </w:p>
          <w:p w14:paraId="03B49FA6">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9.8压力释放等级：≥3档可调</w:t>
            </w:r>
          </w:p>
          <w:p w14:paraId="50E15C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▲9.9具备氧浓度调节功能，氧浓度设置范围：21%到100%。</w:t>
            </w:r>
          </w:p>
          <w:p w14:paraId="431967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▲10.HFNC经鼻</w:t>
            </w:r>
            <w:r>
              <w:rPr>
                <w:rFonts w:hint="eastAsia" w:ascii="宋体" w:hAnsi="宋体" w:eastAsia="宋体" w:cs="宋体"/>
                <w:i w:val="0"/>
                <w:iCs w:val="0"/>
                <w:color w:val="auto"/>
                <w:kern w:val="0"/>
                <w:sz w:val="22"/>
                <w:szCs w:val="22"/>
                <w:u w:val="none"/>
                <w:lang w:val="en-US" w:eastAsia="zh-CN" w:bidi="ar"/>
              </w:rPr>
              <w:t>高流量氧疗吸气流量：2-80L/min,调节步长1L/min,具有氧疗实时计时功能。</w:t>
            </w:r>
          </w:p>
          <w:p w14:paraId="36651BE8">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11.温度控制范围：至少包含29℃ ～ 37℃。</w:t>
            </w:r>
          </w:p>
          <w:p w14:paraId="193E6A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▲12.监测参数至少包含：流量、温度、氧浓度、潮气量、分钟通气量、吸呼比、气道压力、吸气时间、漏气量、呼吸频率；</w:t>
            </w:r>
          </w:p>
          <w:p w14:paraId="6B71B947">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13.具备动态ROX指数功能，实时进行氧疗疗效评估，治疗计时功能；</w:t>
            </w:r>
          </w:p>
          <w:p w14:paraId="27E1C7F2">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14.具备USB接口、护士呼叫的接口。</w:t>
            </w:r>
          </w:p>
          <w:p w14:paraId="7189279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▲15.具备提示报警功能。报警内容至少包含气道压力过高/过低报警；每分钟通气量过低报警；呼吸频率过高/过低报警；潮气量过高/过低报警；漏气量过高/过低报警；面罩脱落报警；窒息报警,断电报警等。</w:t>
            </w:r>
          </w:p>
          <w:p w14:paraId="01AD4BC9">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hint="eastAsia" w:ascii="方正仿宋_GB2312" w:hAnsi="方正仿宋_GB2312" w:eastAsia="方正仿宋_GB2312" w:cs="方正仿宋_GB2312"/>
                <w:color w:val="auto"/>
                <w:sz w:val="28"/>
                <w:szCs w:val="28"/>
                <w:lang w:val="en-US" w:eastAsia="zh-CN"/>
              </w:rPr>
            </w:pPr>
            <w:r>
              <w:rPr>
                <w:rFonts w:hint="eastAsia" w:ascii="宋体" w:hAnsi="宋体" w:eastAsia="宋体" w:cs="宋体"/>
                <w:i w:val="0"/>
                <w:iCs w:val="0"/>
                <w:color w:val="auto"/>
                <w:kern w:val="0"/>
                <w:sz w:val="22"/>
                <w:szCs w:val="22"/>
                <w:u w:val="none"/>
                <w:lang w:val="en-US" w:eastAsia="zh-CN" w:bidi="ar"/>
              </w:rPr>
              <w:t>▲16.使用期限≥5年。</w:t>
            </w:r>
          </w:p>
          <w:p w14:paraId="10C4499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p w14:paraId="50CC2D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▲二、单套呼吸机主要配置清单（配置清单包括但不限于以下物品，投标时须补充所投产品详细配置清单，如配置清单中包含非主机品牌原厂物品，须明确其具体品牌和型号）：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（1）主机1台；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（2）配备一体式移动台车1台；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（3）一次性呼吸管路≥2套（其中有1套为高流量管路套件）；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（4）口鼻罩、鼻罩、鼻塞式鼻氧管、气切接头、吸氧面罩：1套；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（5）支撑臂1套；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（6）过滤器≥1个；</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（7）空气管1根、氧气管1根、电源线1根；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（8）加温加湿湿化器1套（HFNC高流量氧疗模式下必须使用)。</w:t>
            </w:r>
          </w:p>
          <w:p w14:paraId="49D6844C">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hint="eastAsia" w:ascii="方正仿宋_GB2312" w:hAnsi="方正仿宋_GB2312" w:eastAsia="方正仿宋_GB2312" w:cs="方正仿宋_GB2312"/>
                <w:color w:val="auto"/>
                <w:sz w:val="28"/>
                <w:szCs w:val="28"/>
                <w:lang w:val="en-US" w:eastAsia="zh-CN"/>
              </w:rPr>
            </w:pPr>
          </w:p>
        </w:tc>
      </w:tr>
    </w:tbl>
    <w:p w14:paraId="691843D8">
      <w:pPr>
        <w:rPr>
          <w:rFonts w:hint="eastAsia" w:ascii="Calibri" w:hAnsi="Calibri" w:eastAsia="宋体" w:cs="Times New Roman"/>
          <w:color w:val="auto"/>
          <w:lang w:val="en-US" w:eastAsia="zh-CN"/>
        </w:rPr>
      </w:pPr>
    </w:p>
    <w:p w14:paraId="4AFD032B">
      <w:pPr>
        <w:rPr>
          <w:rFonts w:hint="eastAsia" w:ascii="Calibri" w:hAnsi="Calibri" w:eastAsia="宋体" w:cs="Times New Roman"/>
          <w:color w:val="auto"/>
          <w:lang w:val="en-US" w:eastAsia="zh-CN"/>
        </w:rPr>
      </w:pPr>
    </w:p>
    <w:tbl>
      <w:tblPr>
        <w:tblStyle w:val="9"/>
        <w:tblpPr w:leftFromText="180" w:rightFromText="180" w:vertAnchor="text" w:horzAnchor="page" w:tblpX="877" w:tblpY="118"/>
        <w:tblOverlap w:val="never"/>
        <w:tblW w:w="609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74"/>
        <w:gridCol w:w="8353"/>
      </w:tblGrid>
      <w:tr w14:paraId="5315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0" w:type="pct"/>
            <w:gridSpan w:val="2"/>
            <w:vAlign w:val="top"/>
          </w:tcPr>
          <w:p w14:paraId="4AD6122E">
            <w:pPr>
              <w:pStyle w:val="8"/>
              <w:spacing w:before="130" w:line="189" w:lineRule="auto"/>
              <w:ind w:left="139"/>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▲商务条款</w:t>
            </w:r>
          </w:p>
        </w:tc>
      </w:tr>
      <w:tr w14:paraId="57411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6" w:hRule="atLeast"/>
        </w:trPr>
        <w:tc>
          <w:tcPr>
            <w:tcW w:w="876" w:type="pct"/>
            <w:vAlign w:val="center"/>
          </w:tcPr>
          <w:p w14:paraId="7DB5B175">
            <w:pPr>
              <w:pStyle w:val="8"/>
              <w:keepNext w:val="0"/>
              <w:keepLines w:val="0"/>
              <w:pageBreakBefore w:val="0"/>
              <w:widowControl/>
              <w:kinsoku/>
              <w:wordWrap/>
              <w:overflowPunct/>
              <w:topLinePunct w:val="0"/>
              <w:autoSpaceDE/>
              <w:autoSpaceDN/>
              <w:bidi w:val="0"/>
              <w:adjustRightInd w:val="0"/>
              <w:snapToGrid w:val="0"/>
              <w:spacing w:line="380" w:lineRule="exact"/>
              <w:ind w:left="125"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投标报价</w:t>
            </w:r>
          </w:p>
          <w:p w14:paraId="194B0E9E">
            <w:pPr>
              <w:pStyle w:val="8"/>
              <w:keepNext w:val="0"/>
              <w:keepLines w:val="0"/>
              <w:pageBreakBefore w:val="0"/>
              <w:widowControl/>
              <w:kinsoku/>
              <w:wordWrap/>
              <w:overflowPunct/>
              <w:topLinePunct w:val="0"/>
              <w:autoSpaceDE/>
              <w:autoSpaceDN/>
              <w:bidi w:val="0"/>
              <w:adjustRightInd w:val="0"/>
              <w:snapToGrid w:val="0"/>
              <w:spacing w:line="380" w:lineRule="exact"/>
              <w:ind w:left="125" w:firstLine="440" w:firstLineChars="2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要求</w:t>
            </w:r>
          </w:p>
        </w:tc>
        <w:tc>
          <w:tcPr>
            <w:tcW w:w="4123" w:type="pct"/>
            <w:vAlign w:val="top"/>
          </w:tcPr>
          <w:p w14:paraId="46DEBEB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1、报价必须含以下部分，包括：</w:t>
            </w:r>
          </w:p>
          <w:p w14:paraId="6F29AEF9">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（1）货物的价格；</w:t>
            </w:r>
          </w:p>
          <w:p w14:paraId="1D22BAD9">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（2）必要的保险费用和各项税金；</w:t>
            </w:r>
          </w:p>
          <w:p w14:paraId="68DA9D9D">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其他：包括货款、随配附件、备品备件、专用工具、包装、运输、装卸、保险、运抵指定交货地点、送货上门服务、现场安装调试、包装箱清理、保修等各种费用和售后服务、更新升级、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tc>
      </w:tr>
      <w:tr w14:paraId="06E2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76" w:type="pct"/>
            <w:vAlign w:val="center"/>
          </w:tcPr>
          <w:p w14:paraId="7AB57AAA">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合同签订时间</w:t>
            </w:r>
          </w:p>
        </w:tc>
        <w:tc>
          <w:tcPr>
            <w:tcW w:w="4123" w:type="pct"/>
            <w:vAlign w:val="center"/>
          </w:tcPr>
          <w:p w14:paraId="14406AFD">
            <w:pPr>
              <w:keepNext w:val="0"/>
              <w:keepLines w:val="0"/>
              <w:pageBreakBefore w:val="0"/>
              <w:widowControl/>
              <w:kinsoku/>
              <w:wordWrap/>
              <w:overflowPunct/>
              <w:topLinePunct w:val="0"/>
              <w:autoSpaceDE/>
              <w:autoSpaceDN/>
              <w:bidi w:val="0"/>
              <w:adjustRightInd w:val="0"/>
              <w:snapToGrid w:val="0"/>
              <w:spacing w:line="380" w:lineRule="exact"/>
              <w:ind w:firstLine="220" w:firstLineChars="100"/>
              <w:jc w:val="left"/>
              <w:textAlignment w:val="baseline"/>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自中标通知书发出之日起10日内。</w:t>
            </w:r>
          </w:p>
        </w:tc>
      </w:tr>
      <w:tr w14:paraId="1910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76" w:type="pct"/>
            <w:vAlign w:val="top"/>
          </w:tcPr>
          <w:p w14:paraId="1C50CB8D">
            <w:pPr>
              <w:pStyle w:val="8"/>
              <w:keepNext w:val="0"/>
              <w:keepLines w:val="0"/>
              <w:pageBreakBefore w:val="0"/>
              <w:widowControl/>
              <w:kinsoku/>
              <w:wordWrap/>
              <w:overflowPunct/>
              <w:topLinePunct w:val="0"/>
              <w:autoSpaceDE/>
              <w:autoSpaceDN/>
              <w:bidi w:val="0"/>
              <w:adjustRightInd w:val="0"/>
              <w:snapToGrid w:val="0"/>
              <w:spacing w:line="380" w:lineRule="exact"/>
              <w:ind w:left="125"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交货时间</w:t>
            </w:r>
          </w:p>
          <w:p w14:paraId="53EBCDE7">
            <w:pPr>
              <w:pStyle w:val="8"/>
              <w:keepNext w:val="0"/>
              <w:keepLines w:val="0"/>
              <w:pageBreakBefore w:val="0"/>
              <w:widowControl/>
              <w:kinsoku/>
              <w:wordWrap/>
              <w:overflowPunct/>
              <w:topLinePunct w:val="0"/>
              <w:autoSpaceDE/>
              <w:autoSpaceDN/>
              <w:bidi w:val="0"/>
              <w:adjustRightInd w:val="0"/>
              <w:snapToGrid w:val="0"/>
              <w:spacing w:line="380" w:lineRule="exact"/>
              <w:ind w:left="125"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及地点</w:t>
            </w:r>
          </w:p>
        </w:tc>
        <w:tc>
          <w:tcPr>
            <w:tcW w:w="4123" w:type="pct"/>
            <w:vAlign w:val="top"/>
          </w:tcPr>
          <w:p w14:paraId="4D970B5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1.交货时间：合同签订后30天内，交货安装调试并正常运行。</w:t>
            </w:r>
          </w:p>
          <w:p w14:paraId="392253F8">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2.地点：</w:t>
            </w:r>
            <w:r>
              <w:rPr>
                <w:rFonts w:hint="eastAsia" w:ascii="宋体" w:hAnsi="宋体" w:eastAsia="宋体" w:cs="宋体"/>
                <w:snapToGrid w:val="0"/>
                <w:color w:val="auto"/>
                <w:spacing w:val="5"/>
                <w:kern w:val="0"/>
                <w:sz w:val="22"/>
                <w:szCs w:val="22"/>
              </w:rPr>
              <w:t>广西壮族自治区江滨医院内采购人指定地点</w:t>
            </w:r>
            <w:r>
              <w:rPr>
                <w:rFonts w:hint="eastAsia" w:ascii="宋体" w:hAnsi="宋体" w:eastAsia="宋体" w:cs="宋体"/>
                <w:i w:val="0"/>
                <w:iCs w:val="0"/>
                <w:color w:val="auto"/>
                <w:kern w:val="0"/>
                <w:sz w:val="22"/>
                <w:szCs w:val="22"/>
                <w:u w:val="none"/>
                <w:lang w:val="en-US" w:eastAsia="zh-CN" w:bidi="ar"/>
              </w:rPr>
              <w:t>。</w:t>
            </w:r>
          </w:p>
        </w:tc>
      </w:tr>
      <w:tr w14:paraId="70D97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6" w:type="pct"/>
            <w:vAlign w:val="top"/>
          </w:tcPr>
          <w:p w14:paraId="69507716">
            <w:pPr>
              <w:keepNext w:val="0"/>
              <w:keepLines w:val="0"/>
              <w:pageBreakBefore w:val="0"/>
              <w:kinsoku/>
              <w:wordWrap/>
              <w:overflowPunct/>
              <w:topLinePunct w:val="0"/>
              <w:autoSpaceDE/>
              <w:autoSpaceDN/>
              <w:bidi w:val="0"/>
              <w:spacing w:line="380" w:lineRule="exact"/>
              <w:rPr>
                <w:rFonts w:hint="eastAsia" w:ascii="宋体" w:hAnsi="宋体" w:eastAsia="宋体" w:cs="宋体"/>
                <w:i w:val="0"/>
                <w:iCs w:val="0"/>
                <w:color w:val="auto"/>
                <w:kern w:val="0"/>
                <w:sz w:val="22"/>
                <w:szCs w:val="22"/>
                <w:u w:val="none"/>
                <w:lang w:val="en-US" w:eastAsia="zh-CN" w:bidi="ar"/>
              </w:rPr>
            </w:pPr>
          </w:p>
          <w:p w14:paraId="1CE2FF83">
            <w:pPr>
              <w:keepNext w:val="0"/>
              <w:keepLines w:val="0"/>
              <w:pageBreakBefore w:val="0"/>
              <w:kinsoku/>
              <w:wordWrap/>
              <w:overflowPunct/>
              <w:topLinePunct w:val="0"/>
              <w:autoSpaceDE/>
              <w:autoSpaceDN/>
              <w:bidi w:val="0"/>
              <w:spacing w:line="380" w:lineRule="exact"/>
              <w:rPr>
                <w:rFonts w:hint="eastAsia" w:ascii="宋体" w:hAnsi="宋体" w:eastAsia="宋体" w:cs="宋体"/>
                <w:i w:val="0"/>
                <w:iCs w:val="0"/>
                <w:color w:val="auto"/>
                <w:kern w:val="0"/>
                <w:sz w:val="22"/>
                <w:szCs w:val="22"/>
                <w:u w:val="none"/>
                <w:lang w:val="en-US" w:eastAsia="zh-CN" w:bidi="ar"/>
              </w:rPr>
            </w:pPr>
          </w:p>
          <w:p w14:paraId="6F2B8AE9">
            <w:pPr>
              <w:pStyle w:val="8"/>
              <w:keepNext w:val="0"/>
              <w:keepLines w:val="0"/>
              <w:pageBreakBefore w:val="0"/>
              <w:kinsoku/>
              <w:wordWrap/>
              <w:overflowPunct/>
              <w:topLinePunct w:val="0"/>
              <w:autoSpaceDE/>
              <w:autoSpaceDN/>
              <w:bidi w:val="0"/>
              <w:spacing w:line="380" w:lineRule="exact"/>
              <w:rPr>
                <w:rFonts w:hint="eastAsia" w:ascii="宋体" w:hAnsi="宋体" w:eastAsia="宋体" w:cs="宋体"/>
                <w:i w:val="0"/>
                <w:iCs w:val="0"/>
                <w:color w:val="auto"/>
                <w:kern w:val="0"/>
                <w:sz w:val="22"/>
                <w:szCs w:val="22"/>
                <w:u w:val="none"/>
                <w:lang w:val="en-US" w:eastAsia="zh-CN" w:bidi="ar"/>
              </w:rPr>
            </w:pPr>
          </w:p>
          <w:p w14:paraId="2E3F423B">
            <w:pPr>
              <w:pStyle w:val="8"/>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质保期</w:t>
            </w:r>
          </w:p>
        </w:tc>
        <w:tc>
          <w:tcPr>
            <w:tcW w:w="4123" w:type="pct"/>
            <w:vAlign w:val="top"/>
          </w:tcPr>
          <w:p w14:paraId="611685FB">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1.投标人应明确承诺：按国家有关产品“三包”规定执行“三包”，货物验收合格后，自安装验收合格之日起</w:t>
            </w:r>
            <w:r>
              <w:rPr>
                <w:rFonts w:hint="eastAsia" w:ascii="宋体" w:hAnsi="宋体" w:eastAsia="宋体" w:cs="宋体"/>
                <w:b/>
                <w:bCs/>
                <w:i w:val="0"/>
                <w:iCs w:val="0"/>
                <w:color w:val="auto"/>
                <w:kern w:val="0"/>
                <w:sz w:val="22"/>
                <w:szCs w:val="22"/>
                <w:u w:val="none"/>
                <w:lang w:val="en-US" w:eastAsia="zh-CN" w:bidi="ar"/>
              </w:rPr>
              <w:t>质保期≥3年</w:t>
            </w:r>
            <w:r>
              <w:rPr>
                <w:rFonts w:hint="eastAsia" w:ascii="宋体" w:hAnsi="宋体" w:eastAsia="宋体" w:cs="宋体"/>
                <w:i w:val="0"/>
                <w:iCs w:val="0"/>
                <w:color w:val="auto"/>
                <w:kern w:val="0"/>
                <w:sz w:val="22"/>
                <w:szCs w:val="22"/>
                <w:u w:val="none"/>
                <w:lang w:val="en-US" w:eastAsia="zh-CN" w:bidi="ar"/>
              </w:rPr>
              <w:t>，质保期内非人为损坏免费更换所有故障零配件，并免费提供设备的系统软件及硬件的安全性改版升级和技术支持，确保设备正常运行，质保期满后，终身维护。</w:t>
            </w:r>
          </w:p>
          <w:p w14:paraId="5FF44ACA">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2.要求投标货物是全新的、未经改装的、合格的、满足本项目技术需求及要求的货物。所有零部件、配件必须是未经使用的全新的并符合国家有关质量安全标准的产品。</w:t>
            </w:r>
          </w:p>
          <w:p w14:paraId="2A97C550">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3.质保期所更换的零配件必须是原厂全新的零配件 ，满足设备运行要求。</w:t>
            </w:r>
          </w:p>
          <w:p w14:paraId="27D78E53">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4.质量保证期承诺优于国家“三包”规定的 ，或优于招标文件规定的，按投标人实际承诺执行。</w:t>
            </w:r>
          </w:p>
          <w:p w14:paraId="6B9D1C08">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5.若在使用的前3个月内，出现非人为操作失误的重大故障，应予以免费换货。</w:t>
            </w:r>
          </w:p>
        </w:tc>
      </w:tr>
      <w:tr w14:paraId="1CA97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76" w:type="pct"/>
            <w:vAlign w:val="top"/>
          </w:tcPr>
          <w:p w14:paraId="7F2EEC40">
            <w:pPr>
              <w:pStyle w:val="8"/>
              <w:keepNext w:val="0"/>
              <w:keepLines w:val="0"/>
              <w:pageBreakBefore w:val="0"/>
              <w:kinsoku/>
              <w:wordWrap/>
              <w:overflowPunct/>
              <w:topLinePunct w:val="0"/>
              <w:autoSpaceDE/>
              <w:autoSpaceDN/>
              <w:bidi w:val="0"/>
              <w:spacing w:line="380" w:lineRule="exact"/>
              <w:ind w:left="125"/>
              <w:jc w:val="center"/>
              <w:outlineLvl w:val="0"/>
              <w:rPr>
                <w:rFonts w:hint="eastAsia" w:ascii="宋体" w:hAnsi="宋体" w:eastAsia="宋体" w:cs="宋体"/>
                <w:i w:val="0"/>
                <w:iCs w:val="0"/>
                <w:color w:val="auto"/>
                <w:kern w:val="0"/>
                <w:sz w:val="22"/>
                <w:szCs w:val="22"/>
                <w:u w:val="none"/>
                <w:lang w:val="en-US" w:eastAsia="zh-CN" w:bidi="ar"/>
              </w:rPr>
            </w:pPr>
          </w:p>
          <w:p w14:paraId="5E87B3DF">
            <w:pPr>
              <w:pStyle w:val="8"/>
              <w:keepNext w:val="0"/>
              <w:keepLines w:val="0"/>
              <w:pageBreakBefore w:val="0"/>
              <w:kinsoku/>
              <w:wordWrap/>
              <w:overflowPunct/>
              <w:topLinePunct w:val="0"/>
              <w:autoSpaceDE/>
              <w:autoSpaceDN/>
              <w:bidi w:val="0"/>
              <w:spacing w:line="380" w:lineRule="exact"/>
              <w:ind w:left="125"/>
              <w:jc w:val="center"/>
              <w:outlineLvl w:val="0"/>
              <w:rPr>
                <w:rFonts w:hint="eastAsia" w:ascii="宋体" w:hAnsi="宋体" w:eastAsia="宋体" w:cs="宋体"/>
                <w:i w:val="0"/>
                <w:iCs w:val="0"/>
                <w:color w:val="auto"/>
                <w:kern w:val="0"/>
                <w:sz w:val="22"/>
                <w:szCs w:val="22"/>
                <w:u w:val="none"/>
                <w:lang w:val="en-US" w:eastAsia="zh-CN" w:bidi="ar"/>
              </w:rPr>
            </w:pPr>
          </w:p>
          <w:p w14:paraId="3384846A">
            <w:pPr>
              <w:pStyle w:val="8"/>
              <w:keepNext w:val="0"/>
              <w:keepLines w:val="0"/>
              <w:pageBreakBefore w:val="0"/>
              <w:kinsoku/>
              <w:wordWrap/>
              <w:overflowPunct/>
              <w:topLinePunct w:val="0"/>
              <w:autoSpaceDE/>
              <w:autoSpaceDN/>
              <w:bidi w:val="0"/>
              <w:spacing w:line="380" w:lineRule="exact"/>
              <w:ind w:left="125"/>
              <w:jc w:val="center"/>
              <w:outlineLvl w:val="0"/>
              <w:rPr>
                <w:rFonts w:hint="eastAsia" w:ascii="宋体" w:hAnsi="宋体" w:eastAsia="宋体" w:cs="宋体"/>
                <w:i w:val="0"/>
                <w:iCs w:val="0"/>
                <w:color w:val="auto"/>
                <w:kern w:val="0"/>
                <w:sz w:val="22"/>
                <w:szCs w:val="22"/>
                <w:u w:val="none"/>
                <w:lang w:val="en-US" w:eastAsia="zh-CN" w:bidi="ar"/>
              </w:rPr>
            </w:pPr>
          </w:p>
          <w:p w14:paraId="04C9399F">
            <w:pPr>
              <w:pStyle w:val="8"/>
              <w:keepNext w:val="0"/>
              <w:keepLines w:val="0"/>
              <w:pageBreakBefore w:val="0"/>
              <w:kinsoku/>
              <w:wordWrap/>
              <w:overflowPunct/>
              <w:topLinePunct w:val="0"/>
              <w:autoSpaceDE/>
              <w:autoSpaceDN/>
              <w:bidi w:val="0"/>
              <w:spacing w:line="380" w:lineRule="exact"/>
              <w:ind w:left="125"/>
              <w:jc w:val="center"/>
              <w:outlineLvl w:val="0"/>
              <w:rPr>
                <w:rFonts w:hint="eastAsia" w:ascii="宋体" w:hAnsi="宋体" w:eastAsia="宋体" w:cs="宋体"/>
                <w:i w:val="0"/>
                <w:iCs w:val="0"/>
                <w:color w:val="auto"/>
                <w:kern w:val="0"/>
                <w:sz w:val="22"/>
                <w:szCs w:val="22"/>
                <w:u w:val="none"/>
                <w:lang w:val="en-US" w:eastAsia="zh-CN" w:bidi="ar"/>
              </w:rPr>
            </w:pPr>
          </w:p>
          <w:p w14:paraId="48FD36F1">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p>
          <w:p w14:paraId="5F5C9C62">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p>
          <w:p w14:paraId="4333B5E6">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p>
          <w:p w14:paraId="781573AD">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p>
          <w:p w14:paraId="32BEC325">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p>
          <w:p w14:paraId="1AD90955">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p>
          <w:p w14:paraId="7E9B7262">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售后服务</w:t>
            </w:r>
          </w:p>
          <w:p w14:paraId="27AD683E">
            <w:pPr>
              <w:pStyle w:val="8"/>
              <w:keepNext w:val="0"/>
              <w:keepLines w:val="0"/>
              <w:pageBreakBefore w:val="0"/>
              <w:kinsoku/>
              <w:wordWrap/>
              <w:overflowPunct/>
              <w:topLinePunct w:val="0"/>
              <w:autoSpaceDE/>
              <w:autoSpaceDN/>
              <w:bidi w:val="0"/>
              <w:spacing w:line="380" w:lineRule="exact"/>
              <w:ind w:left="125"/>
              <w:jc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要求</w:t>
            </w:r>
          </w:p>
        </w:tc>
        <w:tc>
          <w:tcPr>
            <w:tcW w:w="4123" w:type="pct"/>
            <w:vAlign w:val="top"/>
          </w:tcPr>
          <w:p w14:paraId="47191DF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5E1A8B65">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2.相关人员培训:标的包含医护人员及工程人员的培训计划费用，设备装机验收后，现场提供对采购人的 1 次或多次基本培训 ，使采购人使用人员及工程人员 ，熟练掌  握全部功能及基本维修。其中医务人员专项培训 2 人次，工程人员专项培训 2 人次，视采购人时间安排确定。</w:t>
            </w:r>
          </w:p>
          <w:p w14:paraId="6C9571C6">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 提供 7*24 小时售后服务，接到采购人通知后 2 小时内作出实质响应（远程解决或做出预备维护动作），并在 24 小时内恢复设备运行；</w:t>
            </w:r>
          </w:p>
          <w:p w14:paraId="1B66DB47">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，在无相同型号的同种设备时，则应更换同类设备中较高型号的产品。所产生的的费用，均包含在本次采购报价中，采购人不再承担任何费用。（在大型设备中不适用）</w:t>
            </w:r>
          </w:p>
          <w:p w14:paraId="28F4B86B">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设备保修期（质保期）内因售后服务（包括但不限于原厂商服务和非原厂商服务，其中硬件的售后服务包括但不限于，硬件维护维修、配件更换、整机更换、硬件升级、提供替代品（大型设备不适用）；应用软件的售后服务包括但不限于应用软件维护升级以及非结构性修改）所产生的的费用 ，均包含在本次采购报价中 ，采购人不再承担任何费用。</w:t>
            </w:r>
          </w:p>
          <w:p w14:paraId="1551788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zh-CN" w:bidi="ar"/>
              </w:rPr>
              <w:t>6.设备保修期内，中标供应商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1FC3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6" w:type="pct"/>
            <w:vAlign w:val="top"/>
          </w:tcPr>
          <w:p w14:paraId="7BE87540">
            <w:pPr>
              <w:pStyle w:val="8"/>
              <w:keepNext w:val="0"/>
              <w:keepLines w:val="0"/>
              <w:pageBreakBefore w:val="0"/>
              <w:widowControl/>
              <w:kinsoku/>
              <w:wordWrap/>
              <w:overflowPunct/>
              <w:topLinePunct w:val="0"/>
              <w:autoSpaceDE/>
              <w:autoSpaceDN/>
              <w:bidi w:val="0"/>
              <w:adjustRightInd w:val="0"/>
              <w:snapToGrid w:val="0"/>
              <w:spacing w:line="380" w:lineRule="exact"/>
              <w:ind w:left="125"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p>
          <w:p w14:paraId="7C272E0F">
            <w:pPr>
              <w:pStyle w:val="8"/>
              <w:keepNext w:val="0"/>
              <w:keepLines w:val="0"/>
              <w:pageBreakBefore w:val="0"/>
              <w:widowControl/>
              <w:kinsoku/>
              <w:wordWrap/>
              <w:overflowPunct/>
              <w:topLinePunct w:val="0"/>
              <w:autoSpaceDE/>
              <w:autoSpaceDN/>
              <w:bidi w:val="0"/>
              <w:adjustRightInd w:val="0"/>
              <w:snapToGrid w:val="0"/>
              <w:spacing w:line="380" w:lineRule="exact"/>
              <w:ind w:left="125"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医疗器械</w:t>
            </w:r>
          </w:p>
          <w:p w14:paraId="078CAD53">
            <w:pPr>
              <w:pStyle w:val="8"/>
              <w:keepNext w:val="0"/>
              <w:keepLines w:val="0"/>
              <w:pageBreakBefore w:val="0"/>
              <w:widowControl/>
              <w:kinsoku/>
              <w:wordWrap/>
              <w:overflowPunct/>
              <w:topLinePunct w:val="0"/>
              <w:autoSpaceDE/>
              <w:autoSpaceDN/>
              <w:bidi w:val="0"/>
              <w:adjustRightInd w:val="0"/>
              <w:snapToGrid w:val="0"/>
              <w:spacing w:line="380" w:lineRule="exact"/>
              <w:ind w:left="125"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注册证</w:t>
            </w:r>
          </w:p>
        </w:tc>
        <w:tc>
          <w:tcPr>
            <w:tcW w:w="4123" w:type="pct"/>
            <w:vAlign w:val="top"/>
          </w:tcPr>
          <w:p w14:paraId="73985A4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16E3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876" w:type="pct"/>
            <w:vAlign w:val="top"/>
          </w:tcPr>
          <w:p w14:paraId="30BD6229">
            <w:pPr>
              <w:keepNext w:val="0"/>
              <w:keepLines w:val="0"/>
              <w:pageBreakBefore w:val="0"/>
              <w:kinsoku/>
              <w:wordWrap/>
              <w:overflowPunct/>
              <w:topLinePunct w:val="0"/>
              <w:autoSpaceDE/>
              <w:autoSpaceDN/>
              <w:bidi w:val="0"/>
              <w:spacing w:line="380" w:lineRule="exact"/>
              <w:rPr>
                <w:rFonts w:hint="eastAsia" w:ascii="宋体" w:hAnsi="宋体" w:eastAsia="宋体" w:cs="宋体"/>
                <w:i w:val="0"/>
                <w:iCs w:val="0"/>
                <w:color w:val="auto"/>
                <w:kern w:val="0"/>
                <w:sz w:val="22"/>
                <w:szCs w:val="22"/>
                <w:u w:val="none"/>
                <w:lang w:val="en-US" w:eastAsia="zh-CN" w:bidi="ar"/>
              </w:rPr>
            </w:pPr>
          </w:p>
          <w:p w14:paraId="38E45770">
            <w:pPr>
              <w:pStyle w:val="8"/>
              <w:keepNext w:val="0"/>
              <w:keepLines w:val="0"/>
              <w:pageBreakBefore w:val="0"/>
              <w:kinsoku/>
              <w:wordWrap/>
              <w:overflowPunct/>
              <w:topLinePunct w:val="0"/>
              <w:autoSpaceDE/>
              <w:autoSpaceDN/>
              <w:bidi w:val="0"/>
              <w:spacing w:line="380" w:lineRule="exact"/>
              <w:ind w:firstLine="220" w:firstLineChars="100"/>
              <w:jc w:val="both"/>
              <w:rPr>
                <w:rFonts w:hint="eastAsia" w:ascii="宋体" w:hAnsi="宋体" w:eastAsia="宋体" w:cs="宋体"/>
                <w:i w:val="0"/>
                <w:iCs w:val="0"/>
                <w:color w:val="auto"/>
                <w:kern w:val="0"/>
                <w:sz w:val="22"/>
                <w:szCs w:val="22"/>
                <w:u w:val="none"/>
                <w:lang w:val="en-US" w:eastAsia="zh-CN" w:bidi="ar"/>
              </w:rPr>
            </w:pPr>
          </w:p>
          <w:p w14:paraId="1BF66604">
            <w:pPr>
              <w:pStyle w:val="8"/>
              <w:keepNext w:val="0"/>
              <w:keepLines w:val="0"/>
              <w:pageBreakBefore w:val="0"/>
              <w:kinsoku/>
              <w:wordWrap/>
              <w:overflowPunct/>
              <w:topLinePunct w:val="0"/>
              <w:autoSpaceDE/>
              <w:autoSpaceDN/>
              <w:bidi w:val="0"/>
              <w:spacing w:line="380" w:lineRule="exact"/>
              <w:ind w:firstLine="220" w:firstLineChars="100"/>
              <w:jc w:val="both"/>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付款方式</w:t>
            </w:r>
          </w:p>
        </w:tc>
        <w:tc>
          <w:tcPr>
            <w:tcW w:w="4123" w:type="pct"/>
            <w:vAlign w:val="top"/>
          </w:tcPr>
          <w:p w14:paraId="34717909">
            <w:pPr>
              <w:pStyle w:val="8"/>
              <w:keepNext w:val="0"/>
              <w:keepLines w:val="0"/>
              <w:pageBreakBefore w:val="0"/>
              <w:widowControl/>
              <w:kinsoku/>
              <w:wordWrap/>
              <w:overflowPunct/>
              <w:topLinePunct w:val="0"/>
              <w:autoSpaceDE/>
              <w:autoSpaceDN/>
              <w:bidi w:val="0"/>
              <w:adjustRightInd w:val="0"/>
              <w:snapToGrid w:val="0"/>
              <w:spacing w:line="380" w:lineRule="exact"/>
              <w:ind w:left="218" w:leftChars="104" w:firstLine="0" w:firstLineChars="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全部货物送达指定地点、安装调试并验收合格，双方签署验收报告，中标人提交全额增值税发票后6个月内支付合同金额的95%。中标人履行相关配套服务期满后，且经采购人验收符合合同约定后6个月内，采购人支付至总合同金额100%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4AE8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6" w:type="pct"/>
            <w:vAlign w:val="top"/>
          </w:tcPr>
          <w:p w14:paraId="3E4175F0">
            <w:pPr>
              <w:pStyle w:val="8"/>
              <w:keepNext w:val="0"/>
              <w:keepLines w:val="0"/>
              <w:pageBreakBefore w:val="0"/>
              <w:widowControl/>
              <w:kinsoku/>
              <w:wordWrap/>
              <w:overflowPunct/>
              <w:topLinePunct w:val="0"/>
              <w:autoSpaceDE/>
              <w:autoSpaceDN/>
              <w:bidi w:val="0"/>
              <w:adjustRightInd w:val="0"/>
              <w:snapToGrid w:val="0"/>
              <w:spacing w:line="380" w:lineRule="exact"/>
              <w:ind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履约保证金</w:t>
            </w:r>
          </w:p>
        </w:tc>
        <w:tc>
          <w:tcPr>
            <w:tcW w:w="4123" w:type="pct"/>
            <w:vAlign w:val="top"/>
          </w:tcPr>
          <w:p w14:paraId="5E3C3C2C">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无</w:t>
            </w:r>
          </w:p>
        </w:tc>
      </w:tr>
      <w:tr w14:paraId="48A6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6" w:type="pct"/>
            <w:shd w:val="clear" w:color="auto" w:fill="auto"/>
            <w:vAlign w:val="top"/>
          </w:tcPr>
          <w:p w14:paraId="34CF01B2">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3D0A4CAC">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2C9E6509">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37305ED2">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09CF4A99">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zh-CN" w:bidi="ar"/>
              </w:rPr>
              <w:t>验收标准、验收方法及方案</w:t>
            </w:r>
          </w:p>
        </w:tc>
        <w:tc>
          <w:tcPr>
            <w:tcW w:w="4123" w:type="pct"/>
            <w:shd w:val="clear" w:color="auto" w:fill="auto"/>
            <w:vAlign w:val="top"/>
          </w:tcPr>
          <w:p w14:paraId="2BFEF2B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1.中标人提供不符合公告规定的、采购文件、投标文件承诺的或本合同规定的货物，采购人有权拒绝接受。</w:t>
            </w:r>
          </w:p>
          <w:p w14:paraId="6842168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2.中标人应将所提供货物的装箱清单、用户手册、原厂保修卡、随机资料、工具和备品、备件、验收单等交付给采购人 ，如有缺失应在采购人要求的期限内及时补齐 ，否则视为逾期交货。</w:t>
            </w:r>
          </w:p>
          <w:p w14:paraId="68E83BA9">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335E9CDD">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671F9F6">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2B33F895">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6.中标供应商提供的货物或服务未达到招标文件规定要求，且对采购人造成损失的，由中标供应商承担一切责任，并赔偿所造成的损失。</w:t>
            </w:r>
          </w:p>
          <w:p w14:paraId="22D7EC25">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7.采购人需要制造商对中标供应商交付的产品或服务（包括质量、参数等）进行确认的，制造商应予以配合并出具书面意见，相关配合事项由中标供应商与制造商协调。</w:t>
            </w:r>
          </w:p>
          <w:p w14:paraId="096C32AE">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30048B26">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zh-CN" w:bidi="ar"/>
              </w:rPr>
              <w:t>9.除采购人需要的产品包装材料外，产品验收后所产生的废弃物（如泡沫、塑料膜、包装袋、安装调试所产生的废弃物等）由中标方处理。</w:t>
            </w:r>
          </w:p>
        </w:tc>
      </w:tr>
      <w:tr w14:paraId="3702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6" w:type="pct"/>
            <w:shd w:val="clear" w:color="auto" w:fill="auto"/>
            <w:vAlign w:val="top"/>
          </w:tcPr>
          <w:p w14:paraId="5C09AA84">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p>
          <w:p w14:paraId="2491CBB7">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p>
          <w:p w14:paraId="52207486">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p>
          <w:p w14:paraId="7F3F841E">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p>
          <w:p w14:paraId="77FE1936">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en-US" w:bidi="ar"/>
              </w:rPr>
              <w:t>违约责任</w:t>
            </w:r>
          </w:p>
        </w:tc>
        <w:tc>
          <w:tcPr>
            <w:tcW w:w="4123" w:type="pct"/>
            <w:shd w:val="clear" w:color="auto" w:fill="auto"/>
            <w:vAlign w:val="top"/>
          </w:tcPr>
          <w:p w14:paraId="7E0E4E6B">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1.中标人所提供的货物规格、技术标准、材料等质量不合格或不符合相关法律法规的，应按要求在5日内更换完毕，更换不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1885DBE8">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70EBA749">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3.因包装、运输引起的货物损坏，按质量不合格处理。</w:t>
            </w:r>
          </w:p>
          <w:p w14:paraId="7D065910">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4.中标人逾期交货的，每天向采购人偿付该逾期交付货物金额的3‰违约金，但违约金累计不得超过该批货款额的5%。超过</w:t>
            </w:r>
            <w:r>
              <w:rPr>
                <w:rFonts w:hint="eastAsia" w:ascii="宋体" w:hAnsi="宋体" w:eastAsia="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en-US" w:bidi="ar"/>
              </w:rPr>
              <w:t>0天采购人有权解除合同，中标人承担因此给采购人造成的经济损失。</w:t>
            </w:r>
          </w:p>
          <w:p w14:paraId="481BD98B">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7C097043">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6.中标人提供的货物在质量保证期内，因设计、工艺或材料的缺陷和其他质量原因造成的问题的，产生的维修或更换费用、给采购人造成的经济损失均由中标人承担。</w:t>
            </w:r>
          </w:p>
          <w:p w14:paraId="36E3632E">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7.如发现所提供的产品有弄虚作假的行为，采购人有权拒绝接收产品或退货，并要求中标人赔偿损失，此赔偿总额为该批货款的 50%，同时采购人有权单方终止协议。</w:t>
            </w:r>
          </w:p>
          <w:p w14:paraId="722F2CED">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8.将本项目转让、分包给他人的，一经发现，采购人有权单方终止协议，并有权要求中标人承担由此造成的一切经济损失。</w:t>
            </w:r>
          </w:p>
          <w:p w14:paraId="1AB90386">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en-US" w:bidi="ar"/>
              </w:rPr>
              <w:t>9.其他违约行为按违约货款额 5%收取违约金并赔偿经济损失。</w:t>
            </w:r>
          </w:p>
        </w:tc>
      </w:tr>
      <w:tr w14:paraId="19CE6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9" w:hRule="atLeast"/>
        </w:trPr>
        <w:tc>
          <w:tcPr>
            <w:tcW w:w="876" w:type="pct"/>
            <w:shd w:val="clear" w:color="auto" w:fill="auto"/>
            <w:vAlign w:val="top"/>
          </w:tcPr>
          <w:p w14:paraId="10ABE8DC">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p>
          <w:p w14:paraId="78DB4EEA">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p>
          <w:p w14:paraId="2957AA14">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p>
          <w:p w14:paraId="325A0229">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使用期限</w:t>
            </w:r>
          </w:p>
          <w:p w14:paraId="2F7CEDD2">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要求</w:t>
            </w:r>
          </w:p>
        </w:tc>
        <w:tc>
          <w:tcPr>
            <w:tcW w:w="4123" w:type="pct"/>
            <w:shd w:val="clear" w:color="auto" w:fill="auto"/>
            <w:vAlign w:val="top"/>
          </w:tcPr>
          <w:p w14:paraId="4A5D1E40">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1.设备使用年限</w:t>
            </w:r>
            <w:r>
              <w:rPr>
                <w:rFonts w:hint="eastAsia" w:ascii="宋体" w:hAnsi="宋体" w:eastAsia="宋体" w:cs="宋体"/>
                <w:b/>
                <w:bCs/>
                <w:i w:val="0"/>
                <w:iCs w:val="0"/>
                <w:color w:val="auto"/>
                <w:kern w:val="0"/>
                <w:sz w:val="22"/>
                <w:szCs w:val="22"/>
                <w:u w:val="none"/>
                <w:lang w:val="en-US" w:eastAsia="zh-CN" w:bidi="ar"/>
              </w:rPr>
              <w:t>≥5年</w:t>
            </w:r>
            <w:r>
              <w:rPr>
                <w:rFonts w:hint="eastAsia" w:ascii="宋体" w:hAnsi="宋体" w:eastAsia="宋体" w:cs="宋体"/>
                <w:i w:val="0"/>
                <w:iCs w:val="0"/>
                <w:color w:val="auto"/>
                <w:kern w:val="0"/>
                <w:sz w:val="22"/>
                <w:szCs w:val="22"/>
                <w:u w:val="none"/>
                <w:lang w:val="en-US" w:eastAsia="zh-CN" w:bidi="ar"/>
              </w:rPr>
              <w:t>，中标人所提供货物如有“使用期限”要求的，需逐台写明该设备的“使用期限”。</w:t>
            </w:r>
          </w:p>
          <w:p w14:paraId="0440A7B7">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2.中标人交货时，所提供货物如有“使用期限”要求的，应符合以下要求：</w:t>
            </w:r>
          </w:p>
          <w:p w14:paraId="47BC3982">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所提供货物为非进口货物的“剩余使用期限”需大于等于该货物“使用期限”的95%；所提供货物为进口货物的，要求交货（开箱验收）时所提供货物的生产日期在6个月以内。</w:t>
            </w:r>
          </w:p>
          <w:p w14:paraId="68052D17">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zh-CN" w:bidi="ar"/>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A8E6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6" w:type="pct"/>
            <w:shd w:val="clear" w:color="auto" w:fill="auto"/>
            <w:vAlign w:val="top"/>
          </w:tcPr>
          <w:p w14:paraId="385798A6">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33DC5D22">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64498B9D">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44C11A61">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p>
          <w:p w14:paraId="02165413">
            <w:pPr>
              <w:pStyle w:val="8"/>
              <w:keepNext w:val="0"/>
              <w:keepLines w:val="0"/>
              <w:pageBreakBefore w:val="0"/>
              <w:widowControl/>
              <w:kinsoku/>
              <w:wordWrap/>
              <w:overflowPunct/>
              <w:topLinePunct w:val="0"/>
              <w:autoSpaceDE/>
              <w:autoSpaceDN/>
              <w:bidi w:val="0"/>
              <w:adjustRightInd w:val="0"/>
              <w:snapToGrid w:val="0"/>
              <w:spacing w:line="380" w:lineRule="exact"/>
              <w:ind w:left="125" w:firstLine="220" w:firstLineChars="100"/>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其它要求</w:t>
            </w:r>
          </w:p>
        </w:tc>
        <w:tc>
          <w:tcPr>
            <w:tcW w:w="4123" w:type="pct"/>
            <w:shd w:val="clear" w:color="auto" w:fill="auto"/>
            <w:vAlign w:val="top"/>
          </w:tcPr>
          <w:p w14:paraId="0CA70BFA">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0ABBBAA">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2.中标人在供货时必须提供所投标产品生产厂家合法授权的厂家代理商出具的授权书，原件备查。</w:t>
            </w:r>
          </w:p>
          <w:p w14:paraId="3150360E">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3.在安装期间，未按安全文明作业规范要求进行的，尤其是违反工完场清和禁烟规定的，限期整改不合格的，视情节严重情况扣除合同款项10-1000元/次。 </w:t>
            </w:r>
          </w:p>
          <w:p w14:paraId="6DC21060">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4.发生其他安装和维保不合格情况的，限期整改不合格的，视情节严重情况扣除合同款项10-1000元/次。情节特别严重，导致项目无法实施的，采购人免责终止该项目合同。 </w:t>
            </w:r>
          </w:p>
        </w:tc>
      </w:tr>
      <w:tr w14:paraId="03DD2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775" w:type="dxa"/>
            <w:shd w:val="clear" w:color="auto" w:fill="auto"/>
            <w:vAlign w:val="center"/>
          </w:tcPr>
          <w:p w14:paraId="4B825998">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进口</w:t>
            </w:r>
          </w:p>
          <w:p w14:paraId="2BDA0845">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en-US" w:bidi="ar"/>
              </w:rPr>
            </w:pPr>
            <w:r>
              <w:rPr>
                <w:rFonts w:hint="eastAsia" w:ascii="宋体" w:hAnsi="宋体" w:eastAsia="宋体" w:cs="宋体"/>
                <w:i w:val="0"/>
                <w:iCs w:val="0"/>
                <w:color w:val="auto"/>
                <w:kern w:val="0"/>
                <w:sz w:val="22"/>
                <w:szCs w:val="22"/>
                <w:u w:val="none"/>
                <w:lang w:val="en-US" w:eastAsia="en-US" w:bidi="ar"/>
              </w:rPr>
              <w:t>产品</w:t>
            </w:r>
          </w:p>
          <w:p w14:paraId="7A41B325">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en-US" w:bidi="ar"/>
              </w:rPr>
              <w:t>说明</w:t>
            </w:r>
          </w:p>
        </w:tc>
        <w:tc>
          <w:tcPr>
            <w:tcW w:w="8346" w:type="dxa"/>
            <w:shd w:val="clear" w:color="auto" w:fill="auto"/>
            <w:vAlign w:val="top"/>
          </w:tcPr>
          <w:p w14:paraId="1237DBF4">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本投标产品可选用进口产品；选用进口产品时必须为全套原装进口产品（即通过中国海关报关验放进入中国境内且产自关境外的产品），同时中标人必须负责办理进口产品所有相关手续并承担所有费用。优先采购向我国企业转让技术、与我国企业签订消化吸收再创新方案的中标人的进口产品。</w:t>
            </w:r>
          </w:p>
          <w:p w14:paraId="39214C5B">
            <w:pPr>
              <w:pStyle w:val="8"/>
              <w:keepNext w:val="0"/>
              <w:keepLines w:val="0"/>
              <w:pageBreakBefore w:val="0"/>
              <w:widowControl/>
              <w:kinsoku/>
              <w:wordWrap/>
              <w:overflowPunct/>
              <w:topLinePunct w:val="0"/>
              <w:autoSpaceDE/>
              <w:autoSpaceDN/>
              <w:bidi w:val="0"/>
              <w:adjustRightInd w:val="0"/>
              <w:snapToGrid w:val="0"/>
              <w:spacing w:line="380" w:lineRule="exact"/>
              <w:ind w:left="125"/>
              <w:textAlignment w:val="baseline"/>
              <w:outlineLvl w:val="0"/>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sym w:font="Wingdings 2" w:char="00A3"/>
            </w:r>
            <w:r>
              <w:rPr>
                <w:rFonts w:hint="eastAsia" w:ascii="宋体" w:hAnsi="宋体" w:eastAsia="宋体" w:cs="宋体"/>
                <w:i w:val="0"/>
                <w:iCs w:val="0"/>
                <w:color w:val="auto"/>
                <w:kern w:val="0"/>
                <w:sz w:val="22"/>
                <w:szCs w:val="22"/>
                <w:u w:val="none"/>
                <w:lang w:val="en-US" w:eastAsia="zh-CN" w:bidi="ar"/>
              </w:rPr>
              <w:t>本标项货物不接受进口产品（即通过中国海关报关验放进入中国境内且产自关境外的产品）参与投标，如有进口产品参与投标的作无效标处理。</w:t>
            </w:r>
          </w:p>
        </w:tc>
      </w:tr>
    </w:tbl>
    <w:p w14:paraId="065E2B61">
      <w:pPr>
        <w:keepNext w:val="0"/>
        <w:keepLines w:val="0"/>
        <w:pageBreakBefore w:val="0"/>
        <w:kinsoku/>
        <w:wordWrap/>
        <w:overflowPunct/>
        <w:topLinePunct w:val="0"/>
        <w:autoSpaceDE/>
        <w:autoSpaceDN/>
        <w:bidi w:val="0"/>
        <w:spacing w:line="380" w:lineRule="exact"/>
        <w:rPr>
          <w:rFonts w:hint="eastAsia" w:ascii="Calibri" w:hAnsi="Calibri" w:eastAsia="宋体" w:cs="Times New Roman"/>
          <w:color w:val="auto"/>
          <w:lang w:val="en-US" w:eastAsia="zh-CN"/>
        </w:rPr>
      </w:pPr>
    </w:p>
    <w:p w14:paraId="147F9399">
      <w:pPr>
        <w:rPr>
          <w:rFonts w:hint="eastAsia" w:ascii="Calibri" w:hAnsi="Calibri" w:eastAsia="宋体" w:cs="Times New Roman"/>
          <w:color w:val="auto"/>
          <w:lang w:val="en-US" w:eastAsia="zh-CN"/>
        </w:rPr>
      </w:pPr>
    </w:p>
    <w:p w14:paraId="3C9982ED">
      <w:pPr>
        <w:rPr>
          <w:rFonts w:hint="default" w:ascii="Calibri" w:hAnsi="Calibri" w:eastAsia="宋体" w:cs="Times New Roman"/>
          <w:color w:val="auto"/>
          <w:lang w:val="en-US" w:eastAsia="zh-CN"/>
        </w:rPr>
      </w:pPr>
    </w:p>
    <w:p w14:paraId="5D54B41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D54B4F4-2586-478E-94C9-F2F8FA1E496C}"/>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FE636803-2C14-43AA-AA78-8202759BB4A4}"/>
  </w:font>
  <w:font w:name="方正仿宋_GB2312">
    <w:panose1 w:val="02000000000000000000"/>
    <w:charset w:val="86"/>
    <w:family w:val="auto"/>
    <w:pitch w:val="default"/>
    <w:sig w:usb0="A00002BF" w:usb1="184F6CFA" w:usb2="00000012" w:usb3="00000000" w:csb0="00040001" w:csb1="00000000"/>
    <w:embedRegular r:id="rId3" w:fontKey="{4755AF98-C0E5-4FE8-80BA-6AF3DBB39BF6}"/>
  </w:font>
  <w:font w:name="Wingdings 2">
    <w:altName w:val="Wingdings"/>
    <w:panose1 w:val="05020102010507070707"/>
    <w:charset w:val="02"/>
    <w:family w:val="roman"/>
    <w:pitch w:val="default"/>
    <w:sig w:usb0="00000000" w:usb1="00000000" w:usb2="00000000" w:usb3="00000000" w:csb0="80000000" w:csb1="00000000"/>
    <w:embedRegular r:id="rId4" w:fontKey="{1D5A1D09-7F5F-4CD7-BCE1-A7A84AF643E5}"/>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2B43E"/>
    <w:multiLevelType w:val="singleLevel"/>
    <w:tmpl w:val="4DE2B4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93B"/>
    <w:rsid w:val="01D41341"/>
    <w:rsid w:val="03CC3F79"/>
    <w:rsid w:val="065344DE"/>
    <w:rsid w:val="06F37A6F"/>
    <w:rsid w:val="08100AFE"/>
    <w:rsid w:val="0A455A91"/>
    <w:rsid w:val="0A4C7BC2"/>
    <w:rsid w:val="0A5151D8"/>
    <w:rsid w:val="0BE1277B"/>
    <w:rsid w:val="0C376AAA"/>
    <w:rsid w:val="0DC77404"/>
    <w:rsid w:val="0DEA44B8"/>
    <w:rsid w:val="0FC432C2"/>
    <w:rsid w:val="13741F37"/>
    <w:rsid w:val="13BF1404"/>
    <w:rsid w:val="141921CE"/>
    <w:rsid w:val="16C25721"/>
    <w:rsid w:val="16FF6BC8"/>
    <w:rsid w:val="183B3024"/>
    <w:rsid w:val="1AB265B4"/>
    <w:rsid w:val="1AC6159A"/>
    <w:rsid w:val="1B001394"/>
    <w:rsid w:val="1B7C5E2D"/>
    <w:rsid w:val="1BDB2463"/>
    <w:rsid w:val="1BF1146A"/>
    <w:rsid w:val="1D4D4DFF"/>
    <w:rsid w:val="1D5726AE"/>
    <w:rsid w:val="1EAC07D7"/>
    <w:rsid w:val="1EB37DB8"/>
    <w:rsid w:val="21D27B04"/>
    <w:rsid w:val="21E309B4"/>
    <w:rsid w:val="220B1CB9"/>
    <w:rsid w:val="2713762D"/>
    <w:rsid w:val="283F1B00"/>
    <w:rsid w:val="2DE61DFA"/>
    <w:rsid w:val="2DE63BAA"/>
    <w:rsid w:val="2DF33F22"/>
    <w:rsid w:val="310B5831"/>
    <w:rsid w:val="31263806"/>
    <w:rsid w:val="35675430"/>
    <w:rsid w:val="367479D5"/>
    <w:rsid w:val="38F40AA4"/>
    <w:rsid w:val="397D4DF2"/>
    <w:rsid w:val="3A0D3AF2"/>
    <w:rsid w:val="3A4A1178"/>
    <w:rsid w:val="3D6A7D83"/>
    <w:rsid w:val="3D8A146D"/>
    <w:rsid w:val="3E6A10DF"/>
    <w:rsid w:val="405F587F"/>
    <w:rsid w:val="40EB06E6"/>
    <w:rsid w:val="4198167F"/>
    <w:rsid w:val="4339175F"/>
    <w:rsid w:val="45470B7B"/>
    <w:rsid w:val="467F21AA"/>
    <w:rsid w:val="469919EB"/>
    <w:rsid w:val="4AA01012"/>
    <w:rsid w:val="4B412124"/>
    <w:rsid w:val="4C525FF2"/>
    <w:rsid w:val="4DE94DE0"/>
    <w:rsid w:val="4F0214A4"/>
    <w:rsid w:val="4FC140F9"/>
    <w:rsid w:val="50106568"/>
    <w:rsid w:val="516E1798"/>
    <w:rsid w:val="51C156A7"/>
    <w:rsid w:val="52D54DF6"/>
    <w:rsid w:val="54486516"/>
    <w:rsid w:val="54AA6F8B"/>
    <w:rsid w:val="5520724E"/>
    <w:rsid w:val="55C50043"/>
    <w:rsid w:val="566012D1"/>
    <w:rsid w:val="575968F8"/>
    <w:rsid w:val="57F4051E"/>
    <w:rsid w:val="591D0409"/>
    <w:rsid w:val="59527BF2"/>
    <w:rsid w:val="598A113A"/>
    <w:rsid w:val="5B1F5E39"/>
    <w:rsid w:val="5BEB33AD"/>
    <w:rsid w:val="5C136ECE"/>
    <w:rsid w:val="5C292E8C"/>
    <w:rsid w:val="5D325EB8"/>
    <w:rsid w:val="5DAB78D0"/>
    <w:rsid w:val="5E2F0A79"/>
    <w:rsid w:val="61BA646B"/>
    <w:rsid w:val="630930CF"/>
    <w:rsid w:val="64984B96"/>
    <w:rsid w:val="657575B9"/>
    <w:rsid w:val="65CE2EBD"/>
    <w:rsid w:val="661E04F0"/>
    <w:rsid w:val="67F53B24"/>
    <w:rsid w:val="68B82B11"/>
    <w:rsid w:val="6AC4650A"/>
    <w:rsid w:val="6B5B2936"/>
    <w:rsid w:val="6E511DCE"/>
    <w:rsid w:val="70335C2F"/>
    <w:rsid w:val="76D34411"/>
    <w:rsid w:val="774921DC"/>
    <w:rsid w:val="7B1448AF"/>
    <w:rsid w:val="7B246D67"/>
    <w:rsid w:val="7DB8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paragraph" w:styleId="3">
    <w:name w:val="Plain Text"/>
    <w:basedOn w:val="1"/>
    <w:qFormat/>
    <w:uiPriority w:val="0"/>
    <w:rPr>
      <w:rFonts w:ascii="宋体" w:hAnsi="Courier New" w:cs="Courier New"/>
      <w:szCs w:val="21"/>
    </w:rPr>
  </w:style>
  <w:style w:type="paragraph" w:styleId="4">
    <w:name w:val="Normal (Web)"/>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51"/>
    <w:basedOn w:val="7"/>
    <w:qFormat/>
    <w:uiPriority w:val="0"/>
    <w:rPr>
      <w:rFonts w:hint="eastAsia" w:ascii="宋体" w:hAnsi="宋体" w:eastAsia="宋体" w:cs="宋体"/>
      <w:color w:val="FF0000"/>
      <w:sz w:val="32"/>
      <w:szCs w:val="32"/>
      <w:u w:val="none"/>
    </w:rPr>
  </w:style>
  <w:style w:type="character" w:customStyle="1" w:styleId="11">
    <w:name w:val="font01"/>
    <w:basedOn w:val="7"/>
    <w:qFormat/>
    <w:uiPriority w:val="0"/>
    <w:rPr>
      <w:rFonts w:hint="eastAsia" w:ascii="宋体" w:hAnsi="宋体" w:eastAsia="宋体" w:cs="宋体"/>
      <w:color w:val="000000"/>
      <w:sz w:val="22"/>
      <w:szCs w:val="22"/>
      <w:u w:val="none"/>
    </w:rPr>
  </w:style>
  <w:style w:type="character" w:customStyle="1" w:styleId="12">
    <w:name w:val="font21"/>
    <w:basedOn w:val="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6686</Words>
  <Characters>6984</Characters>
  <Lines>0</Lines>
  <Paragraphs>0</Paragraphs>
  <TotalTime>1</TotalTime>
  <ScaleCrop>false</ScaleCrop>
  <LinksUpToDate>false</LinksUpToDate>
  <CharactersWithSpaces>7046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2025-07-07T07:55:00Z</dcterms:created>
  <dc:creator>user</dc:creator>
  <cp:lastModifiedBy>YXZB</cp:lastModifiedBy>
  <dcterms:modified xsi:type="dcterms:W3CDTF">2026-04-14T08:12:34Z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eyJoZGlkIjoiZGQwOTExMzJhM2Y3NWFlN2ZhYzMwNzY5MTY3N2NmMzMiLCJ1c2VySWQiOiI3MjI0MjIxMDgifQ==</vt:lpwstr>
  </property>
  <property fmtid="{D5CDD505-2E9C-101B-9397-08002B2CF9AE}" pid="4" name="ICV">
    <vt:lpwstr>24B5C9FCD9CC47DE853045B19C20638F_12</vt:lpwstr>
  </property>
</Properties>
</file>