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814EF8">
      <w:pPr>
        <w:pStyle w:val="5"/>
        <w:keepNext/>
        <w:keepLines w:val="0"/>
        <w:pageBreakBefore w:val="0"/>
        <w:widowControl w:val="0"/>
        <w:kinsoku/>
        <w:wordWrap w:val="0"/>
        <w:overflowPunct/>
        <w:topLinePunct/>
        <w:autoSpaceDE/>
        <w:autoSpaceDN/>
        <w:bidi w:val="0"/>
        <w:adjustRightInd w:val="0"/>
        <w:snapToGrid w:val="0"/>
        <w:spacing w:before="120" w:after="120" w:line="700" w:lineRule="exact"/>
        <w:jc w:val="center"/>
        <w:textAlignment w:val="baseline"/>
        <w:outlineLvl w:val="0"/>
        <w:rPr>
          <w:rFonts w:hint="eastAsia" w:ascii="方正小标宋简体" w:hAnsi="方正小标宋简体" w:eastAsia="方正小标宋简体" w:cs="方正小标宋简体"/>
          <w:b/>
          <w:bCs/>
          <w:sz w:val="48"/>
          <w:szCs w:val="48"/>
        </w:rPr>
      </w:pPr>
      <w:r>
        <w:rPr>
          <w:rFonts w:hint="eastAsia" w:ascii="方正小标宋简体" w:hAnsi="方正小标宋简体" w:eastAsia="方正小标宋简体" w:cs="方正小标宋简体"/>
          <w:b/>
          <w:bCs/>
          <w:spacing w:val="34"/>
          <w:sz w:val="48"/>
          <w:szCs w:val="48"/>
        </w:rPr>
        <w:t>采购需求</w:t>
      </w:r>
    </w:p>
    <w:p w14:paraId="6CFDF071">
      <w:pPr>
        <w:keepNext/>
        <w:keepLines w:val="0"/>
        <w:pageBreakBefore w:val="0"/>
        <w:widowControl w:val="0"/>
        <w:kinsoku/>
        <w:wordWrap w:val="0"/>
        <w:overflowPunct/>
        <w:topLinePunct/>
        <w:autoSpaceDE/>
        <w:autoSpaceDN/>
        <w:bidi w:val="0"/>
        <w:adjustRightInd w:val="0"/>
        <w:snapToGrid w:val="0"/>
        <w:spacing w:line="312" w:lineRule="auto"/>
        <w:jc w:val="left"/>
        <w:rPr>
          <w:rFonts w:hint="eastAsia" w:ascii="方正仿宋_GB2312" w:hAnsi="方正仿宋_GB2312" w:eastAsia="方正仿宋_GB2312" w:cs="方正仿宋_GB2312"/>
          <w:b/>
          <w:bCs/>
          <w:kern w:val="0"/>
          <w:sz w:val="28"/>
          <w:szCs w:val="28"/>
        </w:rPr>
      </w:pPr>
    </w:p>
    <w:p w14:paraId="33FBC3CF">
      <w:pPr>
        <w:keepNext/>
        <w:keepLines w:val="0"/>
        <w:pageBreakBefore w:val="0"/>
        <w:widowControl w:val="0"/>
        <w:kinsoku/>
        <w:wordWrap w:val="0"/>
        <w:overflowPunct/>
        <w:topLinePunct/>
        <w:autoSpaceDE/>
        <w:autoSpaceDN/>
        <w:bidi w:val="0"/>
        <w:adjustRightInd w:val="0"/>
        <w:snapToGrid w:val="0"/>
        <w:spacing w:line="440" w:lineRule="exact"/>
        <w:rPr>
          <w:rFonts w:hint="eastAsia" w:ascii="方正仿宋_GB2312" w:hAnsi="方正仿宋_GB2312" w:eastAsia="方正仿宋_GB2312" w:cs="方正仿宋_GB2312"/>
          <w:b/>
          <w:kern w:val="0"/>
          <w:sz w:val="28"/>
          <w:szCs w:val="28"/>
        </w:rPr>
      </w:pPr>
      <w:r>
        <w:rPr>
          <w:rFonts w:hint="eastAsia" w:ascii="方正仿宋_GB2312" w:hAnsi="方正仿宋_GB2312" w:eastAsia="方正仿宋_GB2312" w:cs="方正仿宋_GB2312"/>
          <w:b/>
          <w:kern w:val="0"/>
          <w:sz w:val="28"/>
          <w:szCs w:val="28"/>
        </w:rPr>
        <w:t>一、总体要求</w:t>
      </w:r>
    </w:p>
    <w:p w14:paraId="43E887DB">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pacing w:val="-57"/>
          <w:sz w:val="28"/>
          <w:szCs w:val="28"/>
        </w:rPr>
        <w:t>、</w:t>
      </w:r>
      <w:r>
        <w:rPr>
          <w:rFonts w:hint="eastAsia" w:ascii="方正仿宋_GB2312" w:hAnsi="方正仿宋_GB2312" w:eastAsia="方正仿宋_GB2312" w:cs="方正仿宋_GB2312"/>
          <w:sz w:val="28"/>
          <w:szCs w:val="28"/>
        </w:rPr>
        <w:t>本需求表中的品牌型号仅起参考作用，投标人可选用其他品牌型号替代，但这些替代的品牌型号要实质上相当于或优于参考品牌型号及其技术参数性能（配置）要求。本需求表中参考品牌型号及技术参数和性能（配置）不明确或有误的，或投标人选用其他品牌型号替代的，请以详细、正确的品牌型号、 技术参数和性能配置填写投标报价表和技术响应表。技术响应表须按技术参数及性能（配置）要求一一对应响应。</w:t>
      </w:r>
    </w:p>
    <w:p w14:paraId="07EDC35C">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w:t>
      </w:r>
      <w:r>
        <w:rPr>
          <w:rFonts w:hint="eastAsia" w:ascii="方正仿宋_GB2312" w:hAnsi="方正仿宋_GB2312" w:eastAsia="方正仿宋_GB2312" w:cs="方正仿宋_GB2312"/>
          <w:spacing w:val="-57"/>
          <w:sz w:val="28"/>
          <w:szCs w:val="28"/>
        </w:rPr>
        <w:t>、</w:t>
      </w:r>
      <w:r>
        <w:rPr>
          <w:rFonts w:hint="eastAsia" w:ascii="方正仿宋_GB2312" w:hAnsi="方正仿宋_GB2312" w:eastAsia="方正仿宋_GB2312" w:cs="方正仿宋_GB2312"/>
          <w:sz w:val="28"/>
          <w:szCs w:val="28"/>
        </w:rPr>
        <w:t>凡在“技术参数及性能（配置）要求”中表述为“标配”或“标准配置”的设备，投标人应在投标报价明细表中将其标配参数详细列明，否则该投标无效。</w:t>
      </w:r>
    </w:p>
    <w:p w14:paraId="0D8756EB">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w:t>
      </w:r>
      <w:r>
        <w:rPr>
          <w:rFonts w:hint="eastAsia" w:ascii="方正仿宋_GB2312" w:hAnsi="方正仿宋_GB2312" w:eastAsia="方正仿宋_GB2312" w:cs="方正仿宋_GB2312"/>
          <w:spacing w:val="-57"/>
          <w:sz w:val="28"/>
          <w:szCs w:val="28"/>
        </w:rPr>
        <w:t>、</w:t>
      </w:r>
      <w:r>
        <w:rPr>
          <w:rFonts w:hint="eastAsia" w:ascii="方正仿宋_GB2312" w:hAnsi="方正仿宋_GB2312" w:eastAsia="方正仿宋_GB2312" w:cs="方正仿宋_GB2312"/>
          <w:sz w:val="28"/>
          <w:szCs w:val="28"/>
        </w:rPr>
        <w:t>提供相同品牌产品且通过资格审查、符合性审查的不同供应商参加同一合同项下投标的，按一家供应商计算，评审后得分最高的同品牌供应商获得中标人推荐资格；评审得分相同的，由采购人或者采购人委托评标委员会按照招标文件规定的方式确定一个供应商获得中标人推荐资格，招标文件未规定的采取随机抽取方式确定，其他同品牌供应商不作为中标候选人。</w:t>
      </w:r>
    </w:p>
    <w:p w14:paraId="58A975D1">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w:t>
      </w:r>
      <w:r>
        <w:rPr>
          <w:rFonts w:hint="eastAsia" w:ascii="方正仿宋_GB2312" w:hAnsi="方正仿宋_GB2312" w:eastAsia="方正仿宋_GB2312" w:cs="方正仿宋_GB2312"/>
          <w:spacing w:val="-57"/>
          <w:sz w:val="28"/>
          <w:szCs w:val="28"/>
        </w:rPr>
        <w:t>、</w:t>
      </w:r>
      <w:r>
        <w:rPr>
          <w:rFonts w:hint="eastAsia" w:ascii="方正仿宋_GB2312" w:hAnsi="方正仿宋_GB2312" w:eastAsia="方正仿宋_GB2312" w:cs="方正仿宋_GB2312"/>
          <w:sz w:val="28"/>
          <w:szCs w:val="28"/>
        </w:rPr>
        <w:t>供应商必须自行为其投标产品侵犯其他供应商或专利人的专利成果承担相应法律责任；同时，具有产品专利的供应商应在其投标文件中提供与其自有产品专利相关的有效证明材料，否则，不能就其产品的专利在本项目投标过程中被侵权的问题提出异议。</w:t>
      </w:r>
    </w:p>
    <w:p w14:paraId="19027D8E">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w:t>
      </w:r>
      <w:r>
        <w:rPr>
          <w:rFonts w:hint="eastAsia" w:ascii="方正仿宋_GB2312" w:hAnsi="方正仿宋_GB2312" w:eastAsia="方正仿宋_GB2312" w:cs="方正仿宋_GB2312"/>
          <w:spacing w:val="-57"/>
          <w:sz w:val="28"/>
          <w:szCs w:val="28"/>
        </w:rPr>
        <w:t>、</w:t>
      </w:r>
      <w:r>
        <w:rPr>
          <w:rFonts w:hint="eastAsia" w:ascii="方正仿宋_GB2312" w:hAnsi="方正仿宋_GB2312" w:eastAsia="方正仿宋_GB2312" w:cs="方正仿宋_GB2312"/>
          <w:sz w:val="28"/>
          <w:szCs w:val="28"/>
        </w:rPr>
        <w:t>根据《财政部发展改革委生态环境部市场监管总局关于调整优化节能产品、环境标志产品政府采购执行机制的通知》（财库〔2019〕9 号）和《关于印发节能产品政府采购品目清单的通知》（财库〔2019〕19 号）的规定，采购需求中的产品属于节能产品政府采购品目清单内标注“★”的（详见本章后附的节能产品政府采购品目清单），供应商的投标货物必须使用政府强制采购的节能产品，必须提供所投产品的证明材料（国家确定的认证机构出具的、处于有效期之内的节能产品认证证书复印件，加盖供应商公章），否则投标无效。</w:t>
      </w:r>
    </w:p>
    <w:p w14:paraId="00350510">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rPr>
          <w:rFonts w:hint="eastAsia" w:ascii="方正仿宋_GB2312" w:hAnsi="方正仿宋_GB2312" w:eastAsia="方正仿宋_GB2312" w:cs="方正仿宋_GB2312"/>
          <w:b/>
          <w:bCs/>
          <w:color w:val="auto"/>
          <w:sz w:val="28"/>
          <w:szCs w:val="28"/>
          <w:highlight w:val="none"/>
        </w:rPr>
      </w:pPr>
      <w:r>
        <w:rPr>
          <w:rFonts w:hint="eastAsia" w:ascii="方正仿宋_GB2312" w:hAnsi="方正仿宋_GB2312" w:eastAsia="方正仿宋_GB2312" w:cs="方正仿宋_GB2312"/>
          <w:sz w:val="28"/>
          <w:szCs w:val="28"/>
        </w:rPr>
        <w:t>6</w:t>
      </w:r>
      <w:r>
        <w:rPr>
          <w:rFonts w:hint="eastAsia" w:ascii="方正仿宋_GB2312" w:hAnsi="方正仿宋_GB2312" w:eastAsia="方正仿宋_GB2312" w:cs="方正仿宋_GB2312"/>
          <w:spacing w:val="-57"/>
          <w:sz w:val="28"/>
          <w:szCs w:val="28"/>
        </w:rPr>
        <w:t>、</w:t>
      </w:r>
      <w:r>
        <w:rPr>
          <w:rFonts w:hint="eastAsia" w:ascii="方正仿宋_GB2312" w:hAnsi="方正仿宋_GB2312" w:eastAsia="方正仿宋_GB2312" w:cs="方正仿宋_GB2312"/>
          <w:sz w:val="28"/>
          <w:szCs w:val="28"/>
        </w:rPr>
        <w:t>“实质性要求”是指招标文件中已经指明不满足则投标无效的条款，或者不能负偏离的条款，或者采购需求中带“▲”的条款。标注“▲”的条款或要求系指实质性条款或实质性要求，必须满足，如存在负偏离将导致投标被否决。</w:t>
      </w:r>
    </w:p>
    <w:p w14:paraId="2B52DCC1">
      <w:pPr>
        <w:pStyle w:val="4"/>
        <w:keepNext w:val="0"/>
        <w:keepLines w:val="0"/>
        <w:pageBreakBefore w:val="0"/>
        <w:widowControl/>
        <w:kinsoku w:val="0"/>
        <w:wordWrap/>
        <w:overflowPunct/>
        <w:topLinePunct w:val="0"/>
        <w:autoSpaceDE w:val="0"/>
        <w:autoSpaceDN w:val="0"/>
        <w:bidi w:val="0"/>
        <w:adjustRightInd w:val="0"/>
        <w:snapToGrid w:val="0"/>
        <w:spacing w:before="166" w:line="360" w:lineRule="exact"/>
        <w:ind w:left="39" w:right="248" w:firstLine="438"/>
        <w:textAlignment w:val="baseline"/>
        <w:rPr>
          <w:rFonts w:hint="eastAsia" w:ascii="方正仿宋_GB2312" w:hAnsi="方正仿宋_GB2312" w:eastAsia="方正仿宋_GB2312" w:cs="方正仿宋_GB2312"/>
          <w:b/>
          <w:bCs/>
          <w:snapToGrid w:val="0"/>
          <w:color w:val="FF0000"/>
          <w:kern w:val="0"/>
          <w:sz w:val="28"/>
          <w:szCs w:val="28"/>
          <w:lang w:val="en-US" w:eastAsia="zh-CN" w:bidi="ar-SA"/>
          <w:woUserID w:val="2"/>
        </w:rPr>
      </w:pPr>
      <w:r>
        <w:rPr>
          <w:rFonts w:hint="eastAsia" w:ascii="方正仿宋_GB2312" w:hAnsi="方正仿宋_GB2312" w:eastAsia="方正仿宋_GB2312" w:cs="方正仿宋_GB2312"/>
          <w:b w:val="0"/>
          <w:bCs w:val="0"/>
          <w:sz w:val="28"/>
          <w:szCs w:val="28"/>
        </w:rPr>
        <w:t>7、</w:t>
      </w:r>
      <w:r>
        <w:rPr>
          <w:rFonts w:hint="eastAsia" w:ascii="方正仿宋_GB2312" w:hAnsi="方正仿宋_GB2312" w:eastAsia="方正仿宋_GB2312" w:cs="方正仿宋_GB2312"/>
          <w:b/>
          <w:bCs/>
          <w:snapToGrid w:val="0"/>
          <w:color w:val="000000"/>
          <w:kern w:val="0"/>
          <w:sz w:val="28"/>
          <w:szCs w:val="28"/>
          <w:lang w:val="en-US" w:eastAsia="zh-CN" w:bidi="ar-SA"/>
          <w:woUserID w:val="2"/>
        </w:rPr>
        <w:t>标记“</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b/>
          <w:bCs/>
          <w:snapToGrid w:val="0"/>
          <w:color w:val="000000"/>
          <w:kern w:val="0"/>
          <w:sz w:val="28"/>
          <w:szCs w:val="28"/>
          <w:lang w:val="en-US" w:eastAsia="zh-CN" w:bidi="ar-SA"/>
          <w:woUserID w:val="2"/>
        </w:rPr>
        <w:t>”号为</w:t>
      </w:r>
      <w:r>
        <w:rPr>
          <w:rFonts w:hint="eastAsia" w:ascii="方正仿宋_GB2312" w:hAnsi="方正仿宋_GB2312" w:eastAsia="方正仿宋_GB2312" w:cs="方正仿宋_GB2312"/>
          <w:b/>
          <w:bCs/>
          <w:snapToGrid w:val="0"/>
          <w:color w:val="FF0000"/>
          <w:kern w:val="0"/>
          <w:sz w:val="28"/>
          <w:szCs w:val="28"/>
          <w:lang w:val="en-US" w:eastAsia="zh-CN" w:bidi="ar-SA"/>
          <w:woUserID w:val="2"/>
        </w:rPr>
        <w:t>实质性参数</w:t>
      </w:r>
      <w:r>
        <w:rPr>
          <w:rFonts w:hint="eastAsia" w:ascii="方正仿宋_GB2312" w:hAnsi="方正仿宋_GB2312" w:eastAsia="方正仿宋_GB2312" w:cs="方正仿宋_GB2312"/>
          <w:b/>
          <w:bCs/>
          <w:snapToGrid w:val="0"/>
          <w:color w:val="000000"/>
          <w:kern w:val="0"/>
          <w:sz w:val="28"/>
          <w:szCs w:val="28"/>
          <w:lang w:val="en-US" w:eastAsia="zh-CN" w:bidi="ar-SA"/>
          <w:woUserID w:val="2"/>
        </w:rPr>
        <w:t>，如有偏离</w:t>
      </w:r>
      <w:r>
        <w:rPr>
          <w:rFonts w:hint="eastAsia" w:ascii="方正仿宋_GB2312" w:hAnsi="方正仿宋_GB2312" w:eastAsia="方正仿宋_GB2312" w:cs="方正仿宋_GB2312"/>
          <w:b/>
          <w:bCs/>
          <w:snapToGrid w:val="0"/>
          <w:color w:val="FF0000"/>
          <w:kern w:val="0"/>
          <w:sz w:val="28"/>
          <w:szCs w:val="28"/>
          <w:lang w:val="en-US" w:eastAsia="zh-CN" w:bidi="ar-SA"/>
          <w:woUserID w:val="2"/>
        </w:rPr>
        <w:t>投标无效</w:t>
      </w:r>
      <w:r>
        <w:rPr>
          <w:rFonts w:hint="eastAsia" w:ascii="方正仿宋_GB2312" w:hAnsi="方正仿宋_GB2312" w:eastAsia="方正仿宋_GB2312" w:cs="方正仿宋_GB2312"/>
          <w:b/>
          <w:bCs/>
          <w:snapToGrid w:val="0"/>
          <w:color w:val="000000"/>
          <w:kern w:val="0"/>
          <w:sz w:val="28"/>
          <w:szCs w:val="28"/>
          <w:lang w:val="en-US" w:eastAsia="zh-CN" w:bidi="ar-SA"/>
          <w:woUserID w:val="2"/>
        </w:rPr>
        <w:t>，未标注符号为普通技术参数为非实质性参数</w:t>
      </w:r>
      <w:r>
        <w:rPr>
          <w:rFonts w:hint="eastAsia" w:ascii="方正仿宋_GB2312" w:hAnsi="方正仿宋_GB2312" w:eastAsia="方正仿宋_GB2312" w:cs="方正仿宋_GB2312"/>
          <w:b/>
          <w:bCs/>
          <w:snapToGrid w:val="0"/>
          <w:color w:val="FF0000"/>
          <w:kern w:val="0"/>
          <w:sz w:val="28"/>
          <w:szCs w:val="28"/>
          <w:lang w:val="en-US" w:eastAsia="zh-CN" w:bidi="ar-SA"/>
          <w:woUserID w:val="2"/>
        </w:rPr>
        <w:t>。非实质性技术参数发生负偏离或不响应达2项（含）以上的，投标无效。</w:t>
      </w:r>
    </w:p>
    <w:p w14:paraId="69B6EA2C">
      <w:pPr>
        <w:pStyle w:val="4"/>
        <w:keepNext w:val="0"/>
        <w:keepLines w:val="0"/>
        <w:pageBreakBefore w:val="0"/>
        <w:widowControl/>
        <w:kinsoku w:val="0"/>
        <w:wordWrap/>
        <w:overflowPunct/>
        <w:topLinePunct w:val="0"/>
        <w:autoSpaceDE w:val="0"/>
        <w:autoSpaceDN w:val="0"/>
        <w:bidi w:val="0"/>
        <w:adjustRightInd w:val="0"/>
        <w:snapToGrid w:val="0"/>
        <w:spacing w:before="166" w:line="360" w:lineRule="exact"/>
        <w:ind w:left="39" w:right="248" w:firstLine="438"/>
        <w:textAlignment w:val="baseline"/>
        <w:rPr>
          <w:rFonts w:hint="eastAsia" w:ascii="方正仿宋_GB2312" w:hAnsi="方正仿宋_GB2312" w:eastAsia="方正仿宋_GB2312" w:cs="方正仿宋_GB2312"/>
          <w:b/>
          <w:bCs/>
          <w:color w:val="auto"/>
          <w:sz w:val="28"/>
          <w:szCs w:val="28"/>
          <w:highlight w:val="none"/>
        </w:rPr>
      </w:pPr>
      <w:r>
        <w:rPr>
          <w:rFonts w:hint="eastAsia" w:ascii="方正仿宋_GB2312" w:hAnsi="方正仿宋_GB2312" w:eastAsia="方正仿宋_GB2312" w:cs="方正仿宋_GB2312"/>
          <w:sz w:val="28"/>
          <w:szCs w:val="28"/>
        </w:rPr>
        <w:t>8</w:t>
      </w:r>
      <w:r>
        <w:rPr>
          <w:rFonts w:hint="eastAsia" w:ascii="方正仿宋_GB2312" w:hAnsi="方正仿宋_GB2312" w:eastAsia="方正仿宋_GB2312" w:cs="方正仿宋_GB2312"/>
          <w:spacing w:val="-57"/>
          <w:sz w:val="28"/>
          <w:szCs w:val="28"/>
        </w:rPr>
        <w:t>、</w:t>
      </w:r>
      <w:r>
        <w:rPr>
          <w:rFonts w:hint="eastAsia" w:ascii="方正仿宋_GB2312" w:hAnsi="方正仿宋_GB2312" w:eastAsia="方正仿宋_GB2312" w:cs="方正仿宋_GB2312"/>
          <w:sz w:val="28"/>
          <w:szCs w:val="28"/>
        </w:rPr>
        <w:t>实质性参数（标注“▲”的条款）需提供证明材料：</w:t>
      </w:r>
      <w:r>
        <w:rPr>
          <w:rFonts w:hint="eastAsia" w:ascii="方正仿宋_GB2312" w:hAnsi="方正仿宋_GB2312" w:eastAsia="方正仿宋_GB2312" w:cs="方正仿宋_GB2312"/>
          <w:b/>
          <w:bCs/>
          <w:sz w:val="28"/>
          <w:szCs w:val="28"/>
        </w:rPr>
        <w:t>产品彩页或说明书或技术白皮书或厂家确认盖章有该参数功能的证明材料，否则评标委员会将可能不予以认可</w:t>
      </w:r>
      <w:r>
        <w:rPr>
          <w:rFonts w:hint="eastAsia" w:ascii="方正仿宋_GB2312" w:hAnsi="方正仿宋_GB2312" w:eastAsia="方正仿宋_GB2312" w:cs="方正仿宋_GB2312"/>
          <w:b/>
          <w:bCs/>
          <w:color w:val="auto"/>
          <w:sz w:val="28"/>
          <w:szCs w:val="28"/>
          <w:highlight w:val="none"/>
        </w:rPr>
        <w:t>，并按照负偏离认</w:t>
      </w:r>
      <w:r>
        <w:rPr>
          <w:rFonts w:hint="eastAsia" w:ascii="方正仿宋_GB2312" w:hAnsi="方正仿宋_GB2312" w:eastAsia="方正仿宋_GB2312" w:cs="方正仿宋_GB2312"/>
          <w:b/>
          <w:bCs/>
          <w:color w:val="auto"/>
          <w:sz w:val="28"/>
          <w:szCs w:val="28"/>
          <w:highlight w:val="none"/>
          <w:lang w:val="en-US" w:eastAsia="zh-CN"/>
        </w:rPr>
        <w:t>定</w:t>
      </w:r>
      <w:r>
        <w:rPr>
          <w:rFonts w:hint="eastAsia" w:ascii="方正仿宋_GB2312" w:hAnsi="方正仿宋_GB2312" w:eastAsia="方正仿宋_GB2312" w:cs="方正仿宋_GB2312"/>
          <w:b/>
          <w:bCs/>
          <w:color w:val="auto"/>
          <w:sz w:val="28"/>
          <w:szCs w:val="28"/>
          <w:highlight w:val="none"/>
        </w:rPr>
        <w:t>。</w:t>
      </w:r>
    </w:p>
    <w:p w14:paraId="64CCB7A2">
      <w:pPr>
        <w:pStyle w:val="4"/>
        <w:keepNext w:val="0"/>
        <w:keepLines w:val="0"/>
        <w:pageBreakBefore w:val="0"/>
        <w:widowControl/>
        <w:kinsoku w:val="0"/>
        <w:wordWrap/>
        <w:overflowPunct/>
        <w:topLinePunct w:val="0"/>
        <w:autoSpaceDE w:val="0"/>
        <w:autoSpaceDN w:val="0"/>
        <w:bidi w:val="0"/>
        <w:adjustRightInd w:val="0"/>
        <w:snapToGrid w:val="0"/>
        <w:spacing w:before="166" w:line="360" w:lineRule="exact"/>
        <w:ind w:left="39" w:right="248" w:firstLine="438"/>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9</w:t>
      </w:r>
      <w:r>
        <w:rPr>
          <w:rFonts w:hint="eastAsia" w:ascii="方正仿宋_GB2312" w:hAnsi="方正仿宋_GB2312" w:eastAsia="方正仿宋_GB2312" w:cs="方正仿宋_GB2312"/>
          <w:spacing w:val="-57"/>
          <w:sz w:val="28"/>
          <w:szCs w:val="28"/>
        </w:rPr>
        <w:t>、</w:t>
      </w:r>
      <w:r>
        <w:rPr>
          <w:rFonts w:hint="eastAsia" w:ascii="方正仿宋_GB2312" w:hAnsi="方正仿宋_GB2312" w:eastAsia="方正仿宋_GB2312" w:cs="方正仿宋_GB2312"/>
          <w:sz w:val="28"/>
          <w:szCs w:val="28"/>
        </w:rPr>
        <w:t>招标文件中所要求提供的证明材料，如为英文文本的请提供中文翻译文本。</w:t>
      </w:r>
    </w:p>
    <w:p w14:paraId="16894D3F">
      <w:pPr>
        <w:pStyle w:val="4"/>
        <w:keepNext w:val="0"/>
        <w:keepLines w:val="0"/>
        <w:pageBreakBefore w:val="0"/>
        <w:widowControl/>
        <w:kinsoku w:val="0"/>
        <w:wordWrap/>
        <w:overflowPunct/>
        <w:topLinePunct w:val="0"/>
        <w:autoSpaceDE w:val="0"/>
        <w:autoSpaceDN w:val="0"/>
        <w:bidi w:val="0"/>
        <w:adjustRightInd w:val="0"/>
        <w:snapToGrid w:val="0"/>
        <w:spacing w:before="166" w:line="360" w:lineRule="exact"/>
        <w:ind w:left="39" w:right="248" w:firstLine="438"/>
        <w:textAlignment w:val="baseline"/>
        <w:rPr>
          <w:rFonts w:hint="eastAsia" w:ascii="方正仿宋_GB2312" w:hAnsi="方正仿宋_GB2312" w:eastAsia="方正仿宋_GB2312" w:cs="方正仿宋_GB2312"/>
          <w:sz w:val="28"/>
          <w:szCs w:val="28"/>
          <w:lang w:eastAsia="zh-CN"/>
          <w:woUserID w:val="2"/>
        </w:rPr>
      </w:pPr>
      <w:r>
        <w:rPr>
          <w:rFonts w:hint="eastAsia" w:ascii="方正仿宋_GB2312" w:hAnsi="方正仿宋_GB2312" w:eastAsia="方正仿宋_GB2312" w:cs="方正仿宋_GB2312"/>
          <w:sz w:val="28"/>
          <w:szCs w:val="28"/>
          <w:woUserID w:val="2"/>
        </w:rPr>
        <w:t>10、本项目中小企业划分标准所属行业名称：工业</w:t>
      </w:r>
      <w:r>
        <w:rPr>
          <w:rFonts w:hint="eastAsia" w:ascii="方正仿宋_GB2312" w:hAnsi="方正仿宋_GB2312" w:eastAsia="方正仿宋_GB2312" w:cs="方正仿宋_GB2312"/>
          <w:sz w:val="28"/>
          <w:szCs w:val="28"/>
          <w:lang w:eastAsia="zh-CN"/>
          <w:woUserID w:val="2"/>
        </w:rPr>
        <w:t>。</w:t>
      </w:r>
    </w:p>
    <w:p w14:paraId="2E422E03">
      <w:pPr>
        <w:pStyle w:val="4"/>
        <w:keepNext w:val="0"/>
        <w:keepLines w:val="0"/>
        <w:pageBreakBefore w:val="0"/>
        <w:widowControl/>
        <w:kinsoku w:val="0"/>
        <w:wordWrap/>
        <w:overflowPunct/>
        <w:topLinePunct w:val="0"/>
        <w:autoSpaceDE w:val="0"/>
        <w:autoSpaceDN w:val="0"/>
        <w:bidi w:val="0"/>
        <w:adjustRightInd w:val="0"/>
        <w:snapToGrid w:val="0"/>
        <w:spacing w:before="166" w:line="360" w:lineRule="exact"/>
        <w:ind w:left="39" w:right="248" w:firstLine="438"/>
        <w:textAlignment w:val="baseline"/>
        <w:rPr>
          <w:rFonts w:hint="eastAsia" w:ascii="方正仿宋_GB2312" w:hAnsi="方正仿宋_GB2312" w:eastAsia="方正仿宋_GB2312" w:cs="方正仿宋_GB2312"/>
          <w:sz w:val="28"/>
          <w:szCs w:val="28"/>
        </w:rPr>
      </w:pPr>
    </w:p>
    <w:p w14:paraId="49F3551E">
      <w:pPr>
        <w:keepNext/>
        <w:keepLines w:val="0"/>
        <w:pageBreakBefore w:val="0"/>
        <w:widowControl w:val="0"/>
        <w:kinsoku/>
        <w:wordWrap w:val="0"/>
        <w:overflowPunct/>
        <w:topLinePunct/>
        <w:autoSpaceDE/>
        <w:autoSpaceDN/>
        <w:bidi w:val="0"/>
        <w:adjustRightInd w:val="0"/>
        <w:snapToGrid w:val="0"/>
        <w:spacing w:line="440" w:lineRule="exact"/>
        <w:rPr>
          <w:rFonts w:hint="eastAsia" w:ascii="方正仿宋_GB2312" w:hAnsi="方正仿宋_GB2312" w:eastAsia="方正仿宋_GB2312" w:cs="方正仿宋_GB2312"/>
          <w:b/>
          <w:kern w:val="0"/>
          <w:sz w:val="28"/>
          <w:szCs w:val="28"/>
        </w:rPr>
      </w:pPr>
      <w:r>
        <w:rPr>
          <w:rFonts w:hint="eastAsia" w:ascii="方正仿宋_GB2312" w:hAnsi="方正仿宋_GB2312" w:eastAsia="方正仿宋_GB2312" w:cs="方正仿宋_GB2312"/>
          <w:b/>
          <w:kern w:val="0"/>
          <w:sz w:val="28"/>
          <w:szCs w:val="28"/>
        </w:rPr>
        <w:t>二、技术要求</w:t>
      </w:r>
    </w:p>
    <w:p w14:paraId="2076D0B9">
      <w:pPr>
        <w:keepNext/>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440" w:lineRule="exact"/>
        <w:ind w:left="0" w:right="0" w:firstLine="560" w:firstLineChars="200"/>
        <w:jc w:val="left"/>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1.项目名称：十二导联数字式心电图机采购项目</w:t>
      </w:r>
    </w:p>
    <w:p w14:paraId="5B94579D">
      <w:pPr>
        <w:keepNext/>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440" w:lineRule="exact"/>
        <w:ind w:left="0" w:right="0" w:firstLine="560" w:firstLineChars="200"/>
        <w:jc w:val="left"/>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2.招标采购预算：拟定十二导联数字式心电图机控制价为32500元/台，数量1套。</w:t>
      </w:r>
    </w:p>
    <w:p w14:paraId="424DB280">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3.质保要求：</w:t>
      </w:r>
      <w:r>
        <w:rPr>
          <w:rFonts w:hint="eastAsia" w:ascii="方正仿宋_GB2312" w:hAnsi="方正仿宋_GB2312" w:eastAsia="方正仿宋_GB2312" w:cs="方正仿宋_GB2312"/>
          <w:color w:val="auto"/>
          <w:sz w:val="28"/>
          <w:szCs w:val="28"/>
          <w:lang w:val="en-US" w:eastAsia="zh-CN"/>
        </w:rPr>
        <w:t>整套设备质保期</w:t>
      </w:r>
      <w:r>
        <w:rPr>
          <w:rFonts w:hint="eastAsia" w:ascii="方正仿宋_GB2312" w:hAnsi="方正仿宋_GB2312" w:eastAsia="方正仿宋_GB2312" w:cs="方正仿宋_GB2312"/>
          <w:sz w:val="28"/>
          <w:szCs w:val="28"/>
          <w:lang w:val="en-US" w:eastAsia="zh-CN"/>
        </w:rPr>
        <w:t>≥1年</w:t>
      </w:r>
    </w:p>
    <w:p w14:paraId="5ECBD783">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baseline"/>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4.申请科室：肾内风湿免疫科</w:t>
      </w:r>
    </w:p>
    <w:tbl>
      <w:tblPr>
        <w:tblStyle w:val="10"/>
        <w:tblW w:w="9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1125"/>
        <w:gridCol w:w="1373"/>
        <w:gridCol w:w="6570"/>
      </w:tblGrid>
      <w:tr w14:paraId="06C91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1" w:type="dxa"/>
            <w:vAlign w:val="center"/>
          </w:tcPr>
          <w:p w14:paraId="772F8958">
            <w:pPr>
              <w:keepNext/>
              <w:keepLines w:val="0"/>
              <w:pageBreakBefore w:val="0"/>
              <w:widowControl w:val="0"/>
              <w:kinsoku/>
              <w:wordWrap w:val="0"/>
              <w:overflowPunct/>
              <w:topLinePunct/>
              <w:autoSpaceDE/>
              <w:autoSpaceDN/>
              <w:bidi w:val="0"/>
              <w:adjustRightInd w:val="0"/>
              <w:snapToGrid w:val="0"/>
              <w:spacing w:line="440" w:lineRule="exact"/>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设备</w:t>
            </w:r>
          </w:p>
          <w:p w14:paraId="08DF2D4F">
            <w:pPr>
              <w:keepNext/>
              <w:keepLines w:val="0"/>
              <w:pageBreakBefore w:val="0"/>
              <w:widowControl w:val="0"/>
              <w:kinsoku/>
              <w:wordWrap w:val="0"/>
              <w:overflowPunct/>
              <w:topLinePunct/>
              <w:autoSpaceDE/>
              <w:autoSpaceDN/>
              <w:bidi w:val="0"/>
              <w:adjustRightInd w:val="0"/>
              <w:snapToGrid w:val="0"/>
              <w:spacing w:line="440" w:lineRule="exact"/>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名称</w:t>
            </w:r>
          </w:p>
        </w:tc>
        <w:tc>
          <w:tcPr>
            <w:tcW w:w="1125" w:type="dxa"/>
            <w:vAlign w:val="center"/>
          </w:tcPr>
          <w:p w14:paraId="5DE5F8E7">
            <w:pPr>
              <w:keepNext/>
              <w:keepLines w:val="0"/>
              <w:pageBreakBefore w:val="0"/>
              <w:widowControl w:val="0"/>
              <w:kinsoku/>
              <w:wordWrap w:val="0"/>
              <w:overflowPunct/>
              <w:topLinePunct/>
              <w:autoSpaceDE/>
              <w:autoSpaceDN/>
              <w:bidi w:val="0"/>
              <w:adjustRightInd w:val="0"/>
              <w:snapToGrid w:val="0"/>
              <w:spacing w:line="440" w:lineRule="exact"/>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数量及</w:t>
            </w:r>
          </w:p>
          <w:p w14:paraId="548C4ECB">
            <w:pPr>
              <w:keepNext/>
              <w:keepLines w:val="0"/>
              <w:pageBreakBefore w:val="0"/>
              <w:widowControl w:val="0"/>
              <w:kinsoku/>
              <w:wordWrap w:val="0"/>
              <w:overflowPunct/>
              <w:topLinePunct/>
              <w:autoSpaceDE/>
              <w:autoSpaceDN/>
              <w:bidi w:val="0"/>
              <w:adjustRightInd w:val="0"/>
              <w:snapToGrid w:val="0"/>
              <w:spacing w:line="440" w:lineRule="exact"/>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单位</w:t>
            </w:r>
          </w:p>
        </w:tc>
        <w:tc>
          <w:tcPr>
            <w:tcW w:w="1373" w:type="dxa"/>
            <w:vAlign w:val="center"/>
          </w:tcPr>
          <w:p w14:paraId="2FAC3762">
            <w:pPr>
              <w:keepNext/>
              <w:keepLines w:val="0"/>
              <w:pageBreakBefore w:val="0"/>
              <w:widowControl w:val="0"/>
              <w:kinsoku/>
              <w:wordWrap w:val="0"/>
              <w:overflowPunct/>
              <w:topLinePunct/>
              <w:autoSpaceDE/>
              <w:autoSpaceDN/>
              <w:bidi w:val="0"/>
              <w:adjustRightInd w:val="0"/>
              <w:snapToGrid w:val="0"/>
              <w:spacing w:line="440" w:lineRule="exact"/>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控制单价</w:t>
            </w:r>
          </w:p>
        </w:tc>
        <w:tc>
          <w:tcPr>
            <w:tcW w:w="6570" w:type="dxa"/>
            <w:vAlign w:val="center"/>
          </w:tcPr>
          <w:p w14:paraId="4ED05605">
            <w:pPr>
              <w:keepNext/>
              <w:keepLines w:val="0"/>
              <w:pageBreakBefore w:val="0"/>
              <w:widowControl w:val="0"/>
              <w:kinsoku/>
              <w:wordWrap w:val="0"/>
              <w:overflowPunct/>
              <w:topLinePunct/>
              <w:autoSpaceDE/>
              <w:autoSpaceDN/>
              <w:bidi w:val="0"/>
              <w:adjustRightInd w:val="0"/>
              <w:snapToGrid w:val="0"/>
              <w:spacing w:line="440" w:lineRule="exact"/>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技术要求</w:t>
            </w:r>
          </w:p>
        </w:tc>
      </w:tr>
      <w:tr w14:paraId="759CA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1" w:type="dxa"/>
            <w:vAlign w:val="center"/>
          </w:tcPr>
          <w:p w14:paraId="770C8B44">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eastAsia" w:ascii="方正仿宋_GB2312" w:hAnsi="方正仿宋_GB2312" w:eastAsia="方正仿宋_GB2312" w:cs="方正仿宋_GB2312"/>
                <w:sz w:val="28"/>
                <w:szCs w:val="28"/>
                <w:lang w:val="en-US" w:eastAsia="zh-CN"/>
              </w:rPr>
            </w:pPr>
          </w:p>
          <w:p w14:paraId="1B0726B5">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十二导联数字式心电图机</w:t>
            </w:r>
          </w:p>
          <w:p w14:paraId="14673E02">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eastAsia" w:ascii="方正仿宋_GB2312" w:hAnsi="方正仿宋_GB2312" w:eastAsia="方正仿宋_GB2312" w:cs="方正仿宋_GB2312"/>
                <w:sz w:val="28"/>
                <w:szCs w:val="28"/>
                <w:lang w:val="en-US" w:eastAsia="zh-CN"/>
              </w:rPr>
            </w:pPr>
          </w:p>
          <w:p w14:paraId="11A1A4A4">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eastAsia" w:ascii="方正仿宋_GB2312" w:hAnsi="方正仿宋_GB2312" w:eastAsia="方正仿宋_GB2312" w:cs="方正仿宋_GB2312"/>
                <w:sz w:val="28"/>
                <w:szCs w:val="28"/>
                <w:lang w:val="en-US" w:eastAsia="zh-CN"/>
              </w:rPr>
            </w:pPr>
          </w:p>
        </w:tc>
        <w:tc>
          <w:tcPr>
            <w:tcW w:w="1125" w:type="dxa"/>
            <w:vAlign w:val="center"/>
          </w:tcPr>
          <w:p w14:paraId="48EFE557">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eastAsia" w:ascii="方正仿宋_GB2312" w:hAnsi="方正仿宋_GB2312" w:eastAsia="方正仿宋_GB2312" w:cs="方正仿宋_GB2312"/>
                <w:color w:val="auto"/>
                <w:kern w:val="2"/>
                <w:sz w:val="28"/>
                <w:szCs w:val="28"/>
                <w:vertAlign w:val="baseline"/>
                <w:lang w:val="en-US" w:eastAsia="zh-CN" w:bidi="ar"/>
              </w:rPr>
            </w:pPr>
            <w:r>
              <w:rPr>
                <w:rFonts w:hint="eastAsia" w:ascii="方正仿宋_GB2312" w:hAnsi="方正仿宋_GB2312" w:eastAsia="方正仿宋_GB2312" w:cs="方正仿宋_GB2312"/>
                <w:color w:val="auto"/>
                <w:kern w:val="2"/>
                <w:sz w:val="28"/>
                <w:szCs w:val="28"/>
                <w:vertAlign w:val="baseline"/>
                <w:lang w:val="en-US" w:eastAsia="zh-CN" w:bidi="ar"/>
              </w:rPr>
              <w:t>1台</w:t>
            </w:r>
          </w:p>
        </w:tc>
        <w:tc>
          <w:tcPr>
            <w:tcW w:w="1373" w:type="dxa"/>
            <w:vAlign w:val="center"/>
          </w:tcPr>
          <w:p w14:paraId="29CFED11">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eastAsia" w:ascii="方正仿宋_GB2312" w:hAnsi="方正仿宋_GB2312" w:eastAsia="方正仿宋_GB2312" w:cs="方正仿宋_GB2312"/>
                <w:color w:val="auto"/>
                <w:kern w:val="2"/>
                <w:sz w:val="28"/>
                <w:szCs w:val="28"/>
                <w:vertAlign w:val="baseline"/>
                <w:lang w:val="en-US" w:eastAsia="zh-CN" w:bidi="ar"/>
              </w:rPr>
            </w:pPr>
            <w:r>
              <w:rPr>
                <w:rFonts w:hint="eastAsia" w:ascii="方正仿宋_GB2312" w:hAnsi="方正仿宋_GB2312" w:eastAsia="方正仿宋_GB2312" w:cs="方正仿宋_GB2312"/>
                <w:color w:val="auto"/>
                <w:kern w:val="2"/>
                <w:sz w:val="28"/>
                <w:szCs w:val="28"/>
                <w:vertAlign w:val="baseline"/>
                <w:lang w:val="en-US" w:eastAsia="zh-CN" w:bidi="ar"/>
              </w:rPr>
              <w:t>32500</w:t>
            </w:r>
          </w:p>
        </w:tc>
        <w:tc>
          <w:tcPr>
            <w:tcW w:w="6570" w:type="dxa"/>
          </w:tcPr>
          <w:p w14:paraId="554B0247">
            <w:pPr>
              <w:pStyle w:val="3"/>
              <w:spacing w:line="350" w:lineRule="atLeast"/>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1、▲支持12导心电图采集，内置全屏显示，无需外接平板电脑，实时数据查看。</w:t>
            </w:r>
          </w:p>
          <w:p w14:paraId="2155B76D">
            <w:pPr>
              <w:pStyle w:val="3"/>
              <w:spacing w:line="350" w:lineRule="atLeast"/>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2、显示屏幕≥10英寸，具备高清液晶触摸屏。</w:t>
            </w:r>
          </w:p>
          <w:p w14:paraId="491C7DC0">
            <w:pPr>
              <w:pStyle w:val="3"/>
              <w:spacing w:line="350" w:lineRule="atLeast"/>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3、具备LAN、USB与RS232等传输接口。</w:t>
            </w:r>
          </w:p>
          <w:p w14:paraId="49A7BCA3">
            <w:pPr>
              <w:pStyle w:val="3"/>
              <w:spacing w:line="350" w:lineRule="atLeast"/>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4、具备年龄识别特异性算法，针对不同年龄儿童具有不同诊断准则。</w:t>
            </w:r>
          </w:p>
          <w:p w14:paraId="34F43DE2">
            <w:pPr>
              <w:pStyle w:val="3"/>
              <w:spacing w:line="350" w:lineRule="atLeast"/>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5、支持智能操作系统，可远程更新升级。</w:t>
            </w:r>
          </w:p>
          <w:p w14:paraId="28B7F303">
            <w:pPr>
              <w:pStyle w:val="3"/>
              <w:spacing w:line="350" w:lineRule="atLeast"/>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6、心电图主机支持内置4G，支持全网通。</w:t>
            </w:r>
          </w:p>
          <w:p w14:paraId="47CE1DC6">
            <w:pPr>
              <w:pStyle w:val="3"/>
              <w:spacing w:line="350" w:lineRule="atLeast"/>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7、心电图主机内置无线Wi-Fi模块，支持2.4GHz/5GHz双频。</w:t>
            </w:r>
          </w:p>
          <w:p w14:paraId="70BD9CA0">
            <w:pPr>
              <w:pStyle w:val="3"/>
              <w:spacing w:line="350" w:lineRule="atLeast"/>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8、支持可扩展数据存储。</w:t>
            </w:r>
          </w:p>
          <w:p w14:paraId="76E6502E">
            <w:pPr>
              <w:pStyle w:val="3"/>
              <w:spacing w:line="350" w:lineRule="atLeast"/>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9、 内置锂电池≥3000mAh，支持≥8小时以上连续工作。</w:t>
            </w:r>
          </w:p>
          <w:p w14:paraId="045BBA3B">
            <w:pPr>
              <w:pStyle w:val="3"/>
              <w:spacing w:line="350" w:lineRule="atLeast"/>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10、输入阻抗≥10.0MΩ。</w:t>
            </w:r>
          </w:p>
          <w:p w14:paraId="10241E42">
            <w:pPr>
              <w:pStyle w:val="3"/>
              <w:spacing w:line="350" w:lineRule="atLeast"/>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11、输入回路输入电流≤0.1μA。</w:t>
            </w:r>
          </w:p>
          <w:p w14:paraId="471DB717">
            <w:pPr>
              <w:pStyle w:val="3"/>
              <w:spacing w:line="350" w:lineRule="atLeast"/>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12、最小检测信号10Hz、20μVP-P正弦信号。</w:t>
            </w:r>
          </w:p>
          <w:p w14:paraId="7FE8C76C">
            <w:pPr>
              <w:pStyle w:val="3"/>
              <w:spacing w:line="350" w:lineRule="atLeast"/>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13、噪声电平≤15μVP-P。</w:t>
            </w:r>
          </w:p>
          <w:p w14:paraId="763F28B5">
            <w:pPr>
              <w:pStyle w:val="3"/>
              <w:spacing w:line="350" w:lineRule="atLeast"/>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14、50Hz干扰抑制滤波器：≥20dB。</w:t>
            </w:r>
          </w:p>
          <w:p w14:paraId="5B1BE823">
            <w:pPr>
              <w:pStyle w:val="3"/>
              <w:spacing w:line="350" w:lineRule="atLeast"/>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15、共模抑制比≥89dB。</w:t>
            </w:r>
          </w:p>
          <w:p w14:paraId="60B3F6AC">
            <w:pPr>
              <w:pStyle w:val="3"/>
              <w:spacing w:line="350" w:lineRule="atLeast"/>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16、耐极化电压：±600mV。</w:t>
            </w:r>
          </w:p>
          <w:p w14:paraId="1D32B7CC">
            <w:pPr>
              <w:pStyle w:val="3"/>
              <w:spacing w:line="350" w:lineRule="atLeast"/>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17、标准灵敏度：最大允许误差为±5%。</w:t>
            </w:r>
          </w:p>
          <w:p w14:paraId="3973D592">
            <w:pPr>
              <w:pStyle w:val="3"/>
              <w:spacing w:line="350" w:lineRule="atLeast"/>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18、频响范围：0.05-250Hz全频滤波。</w:t>
            </w:r>
          </w:p>
          <w:p w14:paraId="253D31F2">
            <w:pPr>
              <w:pStyle w:val="3"/>
              <w:spacing w:line="350" w:lineRule="atLeast"/>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19、低频特性：时间常数≥3.2s。</w:t>
            </w:r>
          </w:p>
          <w:p w14:paraId="0B41FE92">
            <w:pPr>
              <w:pStyle w:val="3"/>
              <w:spacing w:line="350" w:lineRule="atLeast"/>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20、基线稳定性：基线漂移≤1mm。</w:t>
            </w:r>
          </w:p>
          <w:p w14:paraId="344D130F">
            <w:pPr>
              <w:pStyle w:val="3"/>
              <w:spacing w:line="350" w:lineRule="atLeast"/>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21、支持连续采集不少于30分钟心电图波形，并保存和上传。</w:t>
            </w:r>
          </w:p>
          <w:p w14:paraId="3BEE32BD">
            <w:pPr>
              <w:pStyle w:val="3"/>
              <w:spacing w:line="350" w:lineRule="atLeast"/>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22、具有采集前五秒的数据回顾功能，方便捕捉偶发心率失常数据。</w:t>
            </w:r>
          </w:p>
          <w:p w14:paraId="4352EDC5">
            <w:pPr>
              <w:pStyle w:val="3"/>
              <w:spacing w:line="350" w:lineRule="atLeast"/>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23、记录测值包括：心率、电轴、P波时限、P-R间期、QRS时限、Q-T间期、QTc、T波、Rv5、Sv1等。</w:t>
            </w:r>
          </w:p>
          <w:p w14:paraId="788506C0">
            <w:pPr>
              <w:pStyle w:val="3"/>
              <w:spacing w:line="350" w:lineRule="atLeast"/>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24、▲QTc参数测量：内置至少2种以上测量算法，QTc计算方法通过系统设置调阅和设置。</w:t>
            </w:r>
          </w:p>
          <w:p w14:paraId="06747327">
            <w:pPr>
              <w:pStyle w:val="3"/>
              <w:spacing w:line="350" w:lineRule="atLeast"/>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26、支持疑似胸痛患者的识别，具备优先诊断功能。</w:t>
            </w:r>
          </w:p>
          <w:p w14:paraId="6D7ED81F">
            <w:pPr>
              <w:pStyle w:val="3"/>
              <w:spacing w:line="350" w:lineRule="atLeast"/>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27、▲需要与现有心电网络无缝对接，需提供心电网络厂家无缝对接证明。</w:t>
            </w:r>
          </w:p>
          <w:p w14:paraId="65AF7339">
            <w:pPr>
              <w:widowControl w:val="0"/>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28、具备工作列表功能，可获取his或电子病历系统中病人申请检查信息，无需外置扫码枪。</w:t>
            </w:r>
          </w:p>
          <w:p w14:paraId="1D662629">
            <w:pPr>
              <w:widowControl w:val="0"/>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sz w:val="28"/>
                <w:szCs w:val="28"/>
                <w:lang w:val="en-US" w:eastAsia="zh-CN"/>
              </w:rPr>
              <w:t>29、质保期≧1年。</w:t>
            </w:r>
          </w:p>
          <w:p w14:paraId="60A40F36">
            <w:pPr>
              <w:keepNext/>
              <w:keepLines w:val="0"/>
              <w:pageBreakBefore w:val="0"/>
              <w:widowControl w:val="0"/>
              <w:numPr>
                <w:ilvl w:val="0"/>
                <w:numId w:val="0"/>
              </w:numPr>
              <w:kinsoku/>
              <w:wordWrap w:val="0"/>
              <w:overflowPunct/>
              <w:topLinePunct/>
              <w:autoSpaceDE/>
              <w:autoSpaceDN/>
              <w:bidi w:val="0"/>
              <w:adjustRightInd w:val="0"/>
              <w:snapToGrid w:val="0"/>
              <w:spacing w:line="360" w:lineRule="exact"/>
              <w:textAlignment w:val="baseline"/>
              <w:rPr>
                <w:rFonts w:hint="eastAsia" w:ascii="方正仿宋_GB2312" w:hAnsi="方正仿宋_GB2312" w:eastAsia="方正仿宋_GB2312" w:cs="方正仿宋_GB2312"/>
                <w:sz w:val="28"/>
                <w:szCs w:val="28"/>
                <w:lang w:val="en-US" w:eastAsia="zh-CN"/>
              </w:rPr>
            </w:pPr>
          </w:p>
        </w:tc>
      </w:tr>
    </w:tbl>
    <w:p w14:paraId="5390F90F">
      <w:pPr>
        <w:keepNext/>
        <w:keepLines w:val="0"/>
        <w:pageBreakBefore w:val="0"/>
        <w:widowControl w:val="0"/>
        <w:kinsoku/>
        <w:wordWrap w:val="0"/>
        <w:overflowPunct/>
        <w:topLinePunct/>
        <w:autoSpaceDE/>
        <w:autoSpaceDN/>
        <w:bidi w:val="0"/>
        <w:adjustRightInd w:val="0"/>
        <w:snapToGrid w:val="0"/>
        <w:spacing w:before="120" w:beforeLines="50" w:line="360" w:lineRule="auto"/>
        <w:rPr>
          <w:rFonts w:hint="eastAsia" w:ascii="方正仿宋_GB2312" w:hAnsi="方正仿宋_GB2312" w:eastAsia="方正仿宋_GB2312" w:cs="方正仿宋_GB2312"/>
          <w:sz w:val="28"/>
          <w:szCs w:val="28"/>
        </w:rPr>
      </w:pPr>
    </w:p>
    <w:p w14:paraId="2FEFCDC2">
      <w:pPr>
        <w:keepNext/>
        <w:keepLines w:val="0"/>
        <w:pageBreakBefore w:val="0"/>
        <w:widowControl w:val="0"/>
        <w:kinsoku/>
        <w:wordWrap w:val="0"/>
        <w:overflowPunct/>
        <w:topLinePunct/>
        <w:autoSpaceDE/>
        <w:autoSpaceDN/>
        <w:bidi w:val="0"/>
        <w:adjustRightInd w:val="0"/>
        <w:snapToGrid w:val="0"/>
        <w:spacing w:before="120" w:beforeLines="50" w:line="360" w:lineRule="auto"/>
        <w:rPr>
          <w:rFonts w:hint="eastAsia" w:ascii="方正仿宋_GB2312" w:hAnsi="方正仿宋_GB2312" w:eastAsia="方正仿宋_GB2312" w:cs="方正仿宋_GB2312"/>
          <w:sz w:val="28"/>
          <w:szCs w:val="28"/>
        </w:rPr>
      </w:pPr>
    </w:p>
    <w:p w14:paraId="765C01C6">
      <w:pPr>
        <w:keepNext/>
        <w:keepLines w:val="0"/>
        <w:pageBreakBefore w:val="0"/>
        <w:widowControl w:val="0"/>
        <w:kinsoku/>
        <w:wordWrap w:val="0"/>
        <w:overflowPunct/>
        <w:topLinePunct/>
        <w:autoSpaceDE/>
        <w:autoSpaceDN/>
        <w:bidi w:val="0"/>
        <w:adjustRightInd w:val="0"/>
        <w:snapToGrid w:val="0"/>
        <w:spacing w:before="120" w:beforeLines="50" w:line="360" w:lineRule="auto"/>
        <w:rPr>
          <w:rFonts w:hint="eastAsia" w:ascii="方正仿宋_GB2312" w:hAnsi="方正仿宋_GB2312" w:eastAsia="方正仿宋_GB2312" w:cs="方正仿宋_GB2312"/>
          <w:b/>
          <w:kern w:val="0"/>
          <w:sz w:val="28"/>
          <w:szCs w:val="28"/>
        </w:rPr>
      </w:pP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b/>
          <w:kern w:val="0"/>
          <w:sz w:val="28"/>
          <w:szCs w:val="28"/>
        </w:rPr>
        <w:t>三、商务要求</w:t>
      </w:r>
    </w:p>
    <w:tbl>
      <w:tblPr>
        <w:tblStyle w:val="13"/>
        <w:tblW w:w="5437"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6"/>
        <w:gridCol w:w="1167"/>
        <w:gridCol w:w="8282"/>
      </w:tblGrid>
      <w:tr w14:paraId="6A5905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118F6E">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kern w:val="0"/>
                <w:sz w:val="28"/>
                <w:szCs w:val="28"/>
              </w:rPr>
            </w:pPr>
            <w:bookmarkStart w:id="0" w:name="_Toc204778399"/>
            <w:r>
              <w:rPr>
                <w:rFonts w:hint="eastAsia" w:ascii="方正仿宋_GB2312" w:hAnsi="方正仿宋_GB2312" w:eastAsia="方正仿宋_GB2312" w:cs="方正仿宋_GB2312"/>
                <w:snapToGrid w:val="0"/>
                <w:color w:val="auto"/>
                <w:spacing w:val="6"/>
                <w:kern w:val="0"/>
                <w:sz w:val="28"/>
                <w:szCs w:val="28"/>
              </w:rPr>
              <w:t>1</w:t>
            </w:r>
            <w:bookmarkEnd w:id="0"/>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BB8ABA">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kern w:val="0"/>
                <w:sz w:val="28"/>
                <w:szCs w:val="28"/>
              </w:rPr>
            </w:pPr>
            <w:bookmarkStart w:id="1" w:name="_Toc204778400"/>
            <w:r>
              <w:rPr>
                <w:rFonts w:hint="eastAsia" w:ascii="方正仿宋_GB2312" w:hAnsi="方正仿宋_GB2312" w:eastAsia="方正仿宋_GB2312" w:cs="方正仿宋_GB2312"/>
                <w:snapToGrid w:val="0"/>
                <w:color w:val="auto"/>
                <w:spacing w:val="6"/>
                <w:kern w:val="0"/>
                <w:sz w:val="28"/>
                <w:szCs w:val="28"/>
              </w:rPr>
              <w:t>投标报价要求</w:t>
            </w:r>
            <w:bookmarkEnd w:id="1"/>
          </w:p>
        </w:tc>
        <w:tc>
          <w:tcPr>
            <w:tcW w:w="4042" w:type="pct"/>
            <w:tcBorders>
              <w:top w:val="single" w:color="000000" w:sz="4" w:space="0"/>
              <w:left w:val="single" w:color="000000" w:sz="4" w:space="0"/>
              <w:bottom w:val="single" w:color="000000" w:sz="4" w:space="0"/>
              <w:right w:val="single" w:color="000000" w:sz="4" w:space="0"/>
            </w:tcBorders>
            <w:shd w:val="clear" w:color="auto" w:fill="FFFFFF"/>
          </w:tcPr>
          <w:p w14:paraId="3788CC26">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1、报价必须含以下部分，包括：</w:t>
            </w:r>
          </w:p>
          <w:p w14:paraId="7FD300CC">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（1）货物的价格；</w:t>
            </w:r>
          </w:p>
          <w:p w14:paraId="72223F63">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（2）必要的保险费用和各项税金；</w:t>
            </w:r>
          </w:p>
          <w:p w14:paraId="0DBA1DC8">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（3）其他</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包括货款、随配附件、备品备件、专用工具、包装、运输、装卸、保险、运抵指定交货地点、送货上门服务、现场安装调试、包装箱清理、保修等各种费用和售后服务、更新升级</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零配件更换</w:t>
            </w:r>
            <w:r>
              <w:rPr>
                <w:rFonts w:hint="eastAsia" w:ascii="方正仿宋_GB2312" w:hAnsi="方正仿宋_GB2312" w:eastAsia="方正仿宋_GB2312" w:cs="方正仿宋_GB2312"/>
                <w:color w:val="auto"/>
                <w:kern w:val="0"/>
                <w:sz w:val="28"/>
                <w:szCs w:val="28"/>
              </w:rPr>
              <w:t>、</w:t>
            </w:r>
            <w:r>
              <w:rPr>
                <w:rFonts w:hint="eastAsia" w:ascii="方正仿宋_GB2312" w:hAnsi="方正仿宋_GB2312" w:eastAsia="方正仿宋_GB2312" w:cs="方正仿宋_GB2312"/>
                <w:snapToGrid w:val="0"/>
                <w:color w:val="auto"/>
                <w:spacing w:val="5"/>
                <w:kern w:val="0"/>
                <w:sz w:val="28"/>
                <w:szCs w:val="28"/>
              </w:rPr>
              <w:t>培训、税金、本采购文件所列设备材料需进行补充完善才能完成本项目的功能配置或实际采购中产品材料有任何遗漏的费用（含本项目需要但本文件中未列出的设备材料、功能配置），以及合同明示或暗示的所有责任、义务和一般风险所有成本费用的总和。</w:t>
            </w:r>
          </w:p>
          <w:p w14:paraId="7D4D2CF8">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w:t>
            </w:r>
            <w:r>
              <w:rPr>
                <w:rFonts w:hint="eastAsia" w:ascii="方正仿宋_GB2312" w:hAnsi="方正仿宋_GB2312" w:eastAsia="方正仿宋_GB2312" w:cs="方正仿宋_GB2312"/>
                <w:snapToGrid w:val="0"/>
                <w:color w:val="auto"/>
                <w:spacing w:val="5"/>
                <w:kern w:val="0"/>
                <w:sz w:val="28"/>
                <w:szCs w:val="28"/>
                <w:lang w:val="en-US" w:eastAsia="zh-CN"/>
              </w:rPr>
              <w:t>4</w:t>
            </w:r>
            <w:r>
              <w:rPr>
                <w:rFonts w:hint="eastAsia" w:ascii="方正仿宋_GB2312" w:hAnsi="方正仿宋_GB2312" w:eastAsia="方正仿宋_GB2312" w:cs="方正仿宋_GB2312"/>
                <w:snapToGrid w:val="0"/>
                <w:color w:val="auto"/>
                <w:spacing w:val="5"/>
                <w:kern w:val="0"/>
                <w:sz w:val="28"/>
                <w:szCs w:val="28"/>
              </w:rPr>
              <w:t>）本项目为交钥匙工程：中标人负责全部产品的安装调试后直接交付运行。在</w:t>
            </w:r>
            <w:r>
              <w:rPr>
                <w:rFonts w:hint="eastAsia" w:ascii="方正仿宋_GB2312" w:hAnsi="方正仿宋_GB2312" w:eastAsia="方正仿宋_GB2312" w:cs="方正仿宋_GB2312"/>
                <w:snapToGrid w:val="0"/>
                <w:color w:val="auto"/>
                <w:spacing w:val="5"/>
                <w:kern w:val="0"/>
                <w:sz w:val="28"/>
                <w:szCs w:val="28"/>
                <w:lang w:eastAsia="zh-CN"/>
              </w:rPr>
              <w:t>质保期</w:t>
            </w:r>
            <w:r>
              <w:rPr>
                <w:rFonts w:hint="eastAsia" w:ascii="方正仿宋_GB2312" w:hAnsi="方正仿宋_GB2312" w:eastAsia="方正仿宋_GB2312" w:cs="方正仿宋_GB2312"/>
                <w:snapToGrid w:val="0"/>
                <w:color w:val="auto"/>
                <w:spacing w:val="5"/>
                <w:kern w:val="0"/>
                <w:sz w:val="28"/>
                <w:szCs w:val="28"/>
              </w:rPr>
              <w:t>内，中标人须保证采购人能够合法应用该器械/服务。在此过程中，采购人将提供一切必要支持。若可能出现的后续证件、手续，中标人必须提供办理的流程及方法。</w:t>
            </w:r>
          </w:p>
          <w:p w14:paraId="1CE8E1CC">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290" w:firstLineChars="100"/>
              <w:textAlignment w:val="baseline"/>
              <w:rPr>
                <w:rFonts w:hint="eastAsia" w:ascii="方正仿宋_GB2312" w:hAnsi="方正仿宋_GB2312" w:eastAsia="方正仿宋_GB2312" w:cs="方正仿宋_GB2312"/>
                <w:snapToGrid w:val="0"/>
                <w:color w:val="auto"/>
                <w:spacing w:val="5"/>
                <w:kern w:val="0"/>
                <w:sz w:val="28"/>
                <w:szCs w:val="28"/>
                <w:lang w:val="en-US" w:eastAsia="zh-CN"/>
              </w:rPr>
            </w:pP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lang w:val="en-US" w:eastAsia="zh-CN"/>
              </w:rPr>
              <w:t>5</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b/>
                <w:bCs/>
                <w:snapToGrid w:val="0"/>
                <w:color w:val="auto"/>
                <w:spacing w:val="5"/>
                <w:kern w:val="0"/>
                <w:sz w:val="28"/>
                <w:szCs w:val="28"/>
                <w:lang w:val="en-US" w:eastAsia="zh-CN" w:bidi="ar-SA"/>
              </w:rPr>
              <w:t>报价包含终身软件升级更新迭代的费用。</w:t>
            </w:r>
          </w:p>
        </w:tc>
      </w:tr>
      <w:tr w14:paraId="75EB3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652A8C">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kern w:val="0"/>
                <w:sz w:val="28"/>
                <w:szCs w:val="28"/>
              </w:rPr>
            </w:pPr>
            <w:bookmarkStart w:id="2" w:name="_Toc204778401"/>
            <w:r>
              <w:rPr>
                <w:rFonts w:hint="eastAsia" w:ascii="方正仿宋_GB2312" w:hAnsi="方正仿宋_GB2312" w:eastAsia="方正仿宋_GB2312" w:cs="方正仿宋_GB2312"/>
                <w:snapToGrid w:val="0"/>
                <w:color w:val="auto"/>
                <w:spacing w:val="6"/>
                <w:kern w:val="0"/>
                <w:sz w:val="28"/>
                <w:szCs w:val="28"/>
              </w:rPr>
              <w:t>2</w:t>
            </w:r>
            <w:bookmarkEnd w:id="2"/>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C0F779">
            <w:pPr>
              <w:keepNext/>
              <w:keepLines w:val="0"/>
              <w:pageBreakBefore w:val="0"/>
              <w:widowControl w:val="0"/>
              <w:kinsoku/>
              <w:wordWrap w:val="0"/>
              <w:overflowPunct/>
              <w:topLinePunct/>
              <w:autoSpaceDE/>
              <w:autoSpaceDN/>
              <w:bidi w:val="0"/>
              <w:adjustRightInd w:val="0"/>
              <w:snapToGrid w:val="0"/>
              <w:spacing w:line="360" w:lineRule="exact"/>
              <w:ind w:left="63" w:leftChars="30"/>
              <w:jc w:val="center"/>
              <w:textAlignment w:val="baseline"/>
              <w:rPr>
                <w:rFonts w:hint="eastAsia" w:ascii="方正仿宋_GB2312" w:hAnsi="方正仿宋_GB2312" w:eastAsia="方正仿宋_GB2312" w:cs="方正仿宋_GB2312"/>
                <w:snapToGrid w:val="0"/>
                <w:color w:val="auto"/>
                <w:spacing w:val="6"/>
                <w:sz w:val="28"/>
                <w:szCs w:val="28"/>
              </w:rPr>
            </w:pPr>
            <w:r>
              <w:rPr>
                <w:rFonts w:hint="eastAsia" w:ascii="方正仿宋_GB2312" w:hAnsi="方正仿宋_GB2312" w:eastAsia="方正仿宋_GB2312" w:cs="方正仿宋_GB2312"/>
                <w:snapToGrid w:val="0"/>
                <w:color w:val="auto"/>
                <w:spacing w:val="6"/>
                <w:sz w:val="28"/>
                <w:szCs w:val="28"/>
              </w:rPr>
              <w:t>合同签订时间</w:t>
            </w:r>
          </w:p>
        </w:tc>
        <w:tc>
          <w:tcPr>
            <w:tcW w:w="40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22A6D1">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6"/>
                <w:kern w:val="0"/>
                <w:sz w:val="28"/>
                <w:szCs w:val="28"/>
              </w:rPr>
            </w:pPr>
            <w:r>
              <w:rPr>
                <w:rFonts w:hint="eastAsia" w:ascii="方正仿宋_GB2312" w:hAnsi="方正仿宋_GB2312" w:eastAsia="方正仿宋_GB2312" w:cs="方正仿宋_GB2312"/>
                <w:snapToGrid w:val="0"/>
                <w:color w:val="auto"/>
                <w:spacing w:val="5"/>
                <w:kern w:val="0"/>
                <w:sz w:val="28"/>
                <w:szCs w:val="28"/>
              </w:rPr>
              <w:t>自中标通知书发出之日起25日内。</w:t>
            </w:r>
          </w:p>
        </w:tc>
      </w:tr>
      <w:tr w14:paraId="72CC44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03611F">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kern w:val="0"/>
                <w:sz w:val="28"/>
                <w:szCs w:val="28"/>
              </w:rPr>
            </w:pPr>
            <w:bookmarkStart w:id="3" w:name="_Toc204778402"/>
            <w:r>
              <w:rPr>
                <w:rFonts w:hint="eastAsia" w:ascii="方正仿宋_GB2312" w:hAnsi="方正仿宋_GB2312" w:eastAsia="方正仿宋_GB2312" w:cs="方正仿宋_GB2312"/>
                <w:snapToGrid w:val="0"/>
                <w:color w:val="auto"/>
                <w:spacing w:val="6"/>
                <w:kern w:val="0"/>
                <w:sz w:val="28"/>
                <w:szCs w:val="28"/>
              </w:rPr>
              <w:t>3</w:t>
            </w:r>
            <w:bookmarkEnd w:id="3"/>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D1843E">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bookmarkStart w:id="4" w:name="_Toc204778403"/>
            <w:r>
              <w:rPr>
                <w:rFonts w:hint="eastAsia" w:ascii="方正仿宋_GB2312" w:hAnsi="方正仿宋_GB2312" w:eastAsia="方正仿宋_GB2312" w:cs="方正仿宋_GB2312"/>
                <w:snapToGrid w:val="0"/>
                <w:color w:val="auto"/>
                <w:spacing w:val="6"/>
                <w:sz w:val="28"/>
                <w:szCs w:val="28"/>
              </w:rPr>
              <w:t>交货时间及地点</w:t>
            </w:r>
            <w:bookmarkEnd w:id="4"/>
          </w:p>
        </w:tc>
        <w:tc>
          <w:tcPr>
            <w:tcW w:w="40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D9C714">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jc w:val="both"/>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1.交货期：合同签订</w:t>
            </w:r>
            <w:r>
              <w:rPr>
                <w:rFonts w:hint="eastAsia" w:ascii="方正仿宋_GB2312" w:hAnsi="方正仿宋_GB2312" w:eastAsia="方正仿宋_GB2312" w:cs="方正仿宋_GB2312"/>
                <w:snapToGrid w:val="0"/>
                <w:color w:val="auto"/>
                <w:spacing w:val="5"/>
                <w:kern w:val="0"/>
                <w:sz w:val="28"/>
                <w:szCs w:val="28"/>
                <w:lang w:val="en-US" w:eastAsia="zh-CN"/>
              </w:rPr>
              <w:t>之日起</w:t>
            </w:r>
            <w:r>
              <w:rPr>
                <w:rFonts w:hint="eastAsia" w:ascii="方正仿宋_GB2312" w:hAnsi="方正仿宋_GB2312" w:eastAsia="方正仿宋_GB2312" w:cs="方正仿宋_GB2312"/>
                <w:snapToGrid w:val="0"/>
                <w:color w:val="auto"/>
                <w:spacing w:val="5"/>
                <w:kern w:val="0"/>
                <w:sz w:val="28"/>
                <w:szCs w:val="28"/>
              </w:rPr>
              <w:t>30天</w:t>
            </w:r>
            <w:r>
              <w:rPr>
                <w:rFonts w:hint="eastAsia" w:ascii="方正仿宋_GB2312" w:hAnsi="方正仿宋_GB2312" w:eastAsia="方正仿宋_GB2312" w:cs="方正仿宋_GB2312"/>
                <w:snapToGrid w:val="0"/>
                <w:color w:val="auto"/>
                <w:spacing w:val="5"/>
                <w:kern w:val="0"/>
                <w:sz w:val="28"/>
                <w:szCs w:val="28"/>
                <w:lang w:val="en-US" w:eastAsia="zh-CN"/>
              </w:rPr>
              <w:t>（进口产品90天）</w:t>
            </w:r>
            <w:r>
              <w:rPr>
                <w:rFonts w:hint="eastAsia" w:ascii="方正仿宋_GB2312" w:hAnsi="方正仿宋_GB2312" w:eastAsia="方正仿宋_GB2312" w:cs="方正仿宋_GB2312"/>
                <w:snapToGrid w:val="0"/>
                <w:color w:val="auto"/>
                <w:spacing w:val="5"/>
                <w:kern w:val="0"/>
                <w:sz w:val="28"/>
                <w:szCs w:val="28"/>
              </w:rPr>
              <w:t>内完成交货安装调试并正常运行。</w:t>
            </w:r>
          </w:p>
          <w:p w14:paraId="53BC235A">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jc w:val="both"/>
              <w:textAlignment w:val="baseline"/>
              <w:rPr>
                <w:rFonts w:hint="eastAsia" w:ascii="方正仿宋_GB2312" w:hAnsi="方正仿宋_GB2312" w:eastAsia="方正仿宋_GB2312" w:cs="方正仿宋_GB2312"/>
                <w:snapToGrid w:val="0"/>
                <w:color w:val="auto"/>
                <w:spacing w:val="4"/>
                <w:kern w:val="0"/>
                <w:sz w:val="28"/>
                <w:szCs w:val="28"/>
              </w:rPr>
            </w:pPr>
            <w:r>
              <w:rPr>
                <w:rFonts w:hint="eastAsia" w:ascii="方正仿宋_GB2312" w:hAnsi="方正仿宋_GB2312" w:eastAsia="方正仿宋_GB2312" w:cs="方正仿宋_GB2312"/>
                <w:snapToGrid w:val="0"/>
                <w:color w:val="auto"/>
                <w:spacing w:val="5"/>
                <w:kern w:val="0"/>
                <w:sz w:val="28"/>
                <w:szCs w:val="28"/>
              </w:rPr>
              <w:t>2.地点：广西壮族自治区江滨医院内采购人指定地点。</w:t>
            </w:r>
          </w:p>
        </w:tc>
      </w:tr>
      <w:tr w14:paraId="3DCEB8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BF1859">
            <w:pPr>
              <w:keepNext/>
              <w:keepLines w:val="0"/>
              <w:pageBreakBefore w:val="0"/>
              <w:widowControl w:val="0"/>
              <w:kinsoku/>
              <w:wordWrap w:val="0"/>
              <w:overflowPunct/>
              <w:topLinePunct/>
              <w:autoSpaceDE/>
              <w:autoSpaceDN/>
              <w:bidi w:val="0"/>
              <w:adjustRightInd w:val="0"/>
              <w:snapToGrid w:val="0"/>
              <w:spacing w:line="360" w:lineRule="exact"/>
              <w:ind w:left="63" w:leftChars="30"/>
              <w:jc w:val="center"/>
              <w:textAlignment w:val="baseline"/>
              <w:rPr>
                <w:rFonts w:hint="eastAsia" w:ascii="方正仿宋_GB2312" w:hAnsi="方正仿宋_GB2312" w:eastAsia="方正仿宋_GB2312" w:cs="方正仿宋_GB2312"/>
                <w:snapToGrid w:val="0"/>
                <w:color w:val="auto"/>
                <w:spacing w:val="6"/>
                <w:sz w:val="28"/>
                <w:szCs w:val="28"/>
              </w:rPr>
            </w:pPr>
            <w:r>
              <w:rPr>
                <w:rFonts w:hint="eastAsia" w:ascii="方正仿宋_GB2312" w:hAnsi="方正仿宋_GB2312" w:eastAsia="方正仿宋_GB2312" w:cs="方正仿宋_GB2312"/>
                <w:snapToGrid w:val="0"/>
                <w:color w:val="auto"/>
                <w:spacing w:val="6"/>
                <w:sz w:val="28"/>
                <w:szCs w:val="28"/>
              </w:rPr>
              <w:t>4</w:t>
            </w:r>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62E96F">
            <w:pPr>
              <w:keepNext/>
              <w:keepLines w:val="0"/>
              <w:pageBreakBefore w:val="0"/>
              <w:widowControl w:val="0"/>
              <w:kinsoku/>
              <w:wordWrap w:val="0"/>
              <w:overflowPunct/>
              <w:topLinePunct/>
              <w:autoSpaceDE/>
              <w:autoSpaceDN/>
              <w:bidi w:val="0"/>
              <w:adjustRightInd w:val="0"/>
              <w:snapToGrid w:val="0"/>
              <w:spacing w:line="360" w:lineRule="exact"/>
              <w:ind w:left="63" w:leftChars="30"/>
              <w:jc w:val="center"/>
              <w:textAlignment w:val="baseline"/>
              <w:rPr>
                <w:rFonts w:hint="eastAsia" w:ascii="方正仿宋_GB2312" w:hAnsi="方正仿宋_GB2312" w:eastAsia="方正仿宋_GB2312" w:cs="方正仿宋_GB2312"/>
                <w:snapToGrid w:val="0"/>
                <w:color w:val="auto"/>
                <w:spacing w:val="6"/>
                <w:sz w:val="28"/>
                <w:szCs w:val="28"/>
                <w:lang w:eastAsia="zh-CN"/>
              </w:rPr>
            </w:pPr>
            <w:r>
              <w:rPr>
                <w:rFonts w:hint="eastAsia" w:ascii="方正仿宋_GB2312" w:hAnsi="方正仿宋_GB2312" w:eastAsia="方正仿宋_GB2312" w:cs="方正仿宋_GB2312"/>
                <w:snapToGrid w:val="0"/>
                <w:color w:val="auto"/>
                <w:spacing w:val="6"/>
                <w:sz w:val="28"/>
                <w:szCs w:val="28"/>
                <w:lang w:eastAsia="zh-CN"/>
              </w:rPr>
              <w:t>质保期</w:t>
            </w:r>
          </w:p>
        </w:tc>
        <w:tc>
          <w:tcPr>
            <w:tcW w:w="4042" w:type="pct"/>
            <w:tcBorders>
              <w:top w:val="single" w:color="000000" w:sz="4" w:space="0"/>
              <w:left w:val="single" w:color="000000" w:sz="4" w:space="0"/>
              <w:bottom w:val="single" w:color="000000" w:sz="4" w:space="0"/>
              <w:right w:val="single" w:color="000000" w:sz="4" w:space="0"/>
            </w:tcBorders>
            <w:shd w:val="clear" w:color="auto" w:fill="FFFFFF"/>
          </w:tcPr>
          <w:p w14:paraId="4BE41969">
            <w:pPr>
              <w:pStyle w:val="12"/>
              <w:keepNext w:val="0"/>
              <w:keepLines w:val="0"/>
              <w:pageBreakBefore w:val="0"/>
              <w:widowControl/>
              <w:numPr>
                <w:ilvl w:val="0"/>
                <w:numId w:val="0"/>
              </w:numPr>
              <w:kinsoku/>
              <w:wordWrap/>
              <w:overflowPunct/>
              <w:topLinePunct w:val="0"/>
              <w:autoSpaceDE/>
              <w:autoSpaceDN/>
              <w:bidi w:val="0"/>
              <w:adjustRightInd w:val="0"/>
              <w:snapToGrid w:val="0"/>
              <w:spacing w:before="176" w:line="360" w:lineRule="exact"/>
              <w:ind w:left="63" w:leftChars="30" w:firstLine="290" w:firstLineChars="100"/>
              <w:textAlignment w:val="baseline"/>
              <w:outlineLvl w:val="0"/>
              <w:rPr>
                <w:rFonts w:hint="eastAsia" w:ascii="方正仿宋_GB2312" w:hAnsi="方正仿宋_GB2312" w:eastAsia="方正仿宋_GB2312" w:cs="方正仿宋_GB2312"/>
                <w:snapToGrid w:val="0"/>
                <w:color w:val="auto"/>
                <w:spacing w:val="5"/>
                <w:kern w:val="0"/>
                <w:sz w:val="28"/>
                <w:szCs w:val="28"/>
                <w:lang w:val="en-US" w:eastAsia="zh-CN" w:bidi="ar-SA"/>
              </w:rPr>
            </w:pPr>
            <w:r>
              <w:rPr>
                <w:rFonts w:hint="eastAsia" w:ascii="方正仿宋_GB2312" w:hAnsi="方正仿宋_GB2312" w:eastAsia="方正仿宋_GB2312" w:cs="方正仿宋_GB2312"/>
                <w:snapToGrid w:val="0"/>
                <w:color w:val="auto"/>
                <w:spacing w:val="5"/>
                <w:kern w:val="0"/>
                <w:sz w:val="28"/>
                <w:szCs w:val="28"/>
                <w:lang w:val="en-US" w:eastAsia="zh-CN" w:bidi="ar-SA"/>
              </w:rPr>
              <w:t>1.</w:t>
            </w:r>
            <w:r>
              <w:rPr>
                <w:rFonts w:hint="eastAsia" w:ascii="方正仿宋_GB2312" w:hAnsi="方正仿宋_GB2312" w:eastAsia="方正仿宋_GB2312" w:cs="方正仿宋_GB2312"/>
                <w:snapToGrid w:val="0"/>
                <w:color w:val="auto"/>
                <w:spacing w:val="5"/>
                <w:kern w:val="0"/>
                <w:sz w:val="28"/>
                <w:szCs w:val="28"/>
                <w:lang w:val="en-US" w:eastAsia="en-US" w:bidi="ar-SA"/>
              </w:rPr>
              <w:t>投标人应明确承诺：按国家有关产品“三包”规定执行“三包”，货物验收合格后，自安装验收合格之日起</w:t>
            </w:r>
            <w:r>
              <w:rPr>
                <w:rFonts w:hint="eastAsia" w:ascii="方正仿宋_GB2312" w:hAnsi="方正仿宋_GB2312" w:eastAsia="方正仿宋_GB2312" w:cs="方正仿宋_GB2312"/>
                <w:snapToGrid w:val="0"/>
                <w:color w:val="auto"/>
                <w:spacing w:val="5"/>
                <w:kern w:val="0"/>
                <w:sz w:val="28"/>
                <w:szCs w:val="28"/>
                <w:lang w:val="en-US" w:eastAsia="zh-CN" w:bidi="ar-SA"/>
              </w:rPr>
              <w:t>：</w:t>
            </w:r>
            <w:r>
              <w:rPr>
                <w:rFonts w:hint="eastAsia" w:ascii="方正仿宋_GB2312" w:hAnsi="方正仿宋_GB2312" w:eastAsia="方正仿宋_GB2312" w:cs="方正仿宋_GB2312"/>
                <w:b/>
                <w:bCs/>
                <w:snapToGrid w:val="0"/>
                <w:color w:val="auto"/>
                <w:spacing w:val="5"/>
                <w:kern w:val="0"/>
                <w:sz w:val="28"/>
                <w:szCs w:val="28"/>
                <w:lang w:val="en-US" w:eastAsia="zh-CN" w:bidi="ar-SA"/>
              </w:rPr>
              <w:t>整套设备质保期</w:t>
            </w:r>
            <w:r>
              <w:rPr>
                <w:rFonts w:hint="eastAsia" w:ascii="方正仿宋_GB2312" w:hAnsi="方正仿宋_GB2312" w:eastAsia="方正仿宋_GB2312" w:cs="方正仿宋_GB2312"/>
                <w:b/>
                <w:bCs/>
                <w:snapToGrid w:val="0"/>
                <w:color w:val="auto"/>
                <w:spacing w:val="5"/>
                <w:kern w:val="0"/>
                <w:sz w:val="28"/>
                <w:szCs w:val="28"/>
                <w:lang w:val="en-US" w:eastAsia="en-US" w:bidi="ar-SA"/>
              </w:rPr>
              <w:t>≥</w:t>
            </w:r>
            <w:r>
              <w:rPr>
                <w:rFonts w:hint="eastAsia" w:ascii="方正仿宋_GB2312" w:hAnsi="方正仿宋_GB2312" w:eastAsia="方正仿宋_GB2312" w:cs="方正仿宋_GB2312"/>
                <w:b/>
                <w:bCs/>
                <w:snapToGrid w:val="0"/>
                <w:color w:val="auto"/>
                <w:spacing w:val="5"/>
                <w:kern w:val="0"/>
                <w:sz w:val="28"/>
                <w:szCs w:val="28"/>
                <w:lang w:val="en-US" w:eastAsia="zh-CN" w:bidi="ar-SA"/>
              </w:rPr>
              <w:t>1</w:t>
            </w:r>
            <w:r>
              <w:rPr>
                <w:rFonts w:hint="eastAsia" w:ascii="方正仿宋_GB2312" w:hAnsi="方正仿宋_GB2312" w:eastAsia="方正仿宋_GB2312" w:cs="方正仿宋_GB2312"/>
                <w:b/>
                <w:bCs/>
                <w:snapToGrid w:val="0"/>
                <w:color w:val="auto"/>
                <w:spacing w:val="5"/>
                <w:kern w:val="0"/>
                <w:sz w:val="28"/>
                <w:szCs w:val="28"/>
                <w:lang w:val="en-US" w:eastAsia="en-US" w:bidi="ar-SA"/>
              </w:rPr>
              <w:t>年</w:t>
            </w:r>
            <w:r>
              <w:rPr>
                <w:rFonts w:hint="eastAsia" w:ascii="方正仿宋_GB2312" w:hAnsi="方正仿宋_GB2312" w:eastAsia="方正仿宋_GB2312" w:cs="方正仿宋_GB2312"/>
                <w:b/>
                <w:bCs/>
                <w:snapToGrid w:val="0"/>
                <w:color w:val="auto"/>
                <w:spacing w:val="5"/>
                <w:kern w:val="0"/>
                <w:sz w:val="28"/>
                <w:szCs w:val="28"/>
                <w:lang w:val="en-US" w:eastAsia="zh-CN" w:bidi="ar-SA"/>
              </w:rPr>
              <w:t>。</w:t>
            </w:r>
            <w:r>
              <w:rPr>
                <w:rFonts w:hint="eastAsia" w:ascii="方正仿宋_GB2312" w:hAnsi="方正仿宋_GB2312" w:eastAsia="方正仿宋_GB2312" w:cs="方正仿宋_GB2312"/>
                <w:snapToGrid w:val="0"/>
                <w:color w:val="auto"/>
                <w:spacing w:val="5"/>
                <w:kern w:val="0"/>
                <w:sz w:val="28"/>
                <w:szCs w:val="28"/>
                <w:lang w:val="en-US" w:eastAsia="zh-CN" w:bidi="ar-SA"/>
              </w:rPr>
              <w:t>质保期</w:t>
            </w:r>
            <w:r>
              <w:rPr>
                <w:rFonts w:hint="eastAsia" w:ascii="方正仿宋_GB2312" w:hAnsi="方正仿宋_GB2312" w:eastAsia="方正仿宋_GB2312" w:cs="方正仿宋_GB2312"/>
                <w:snapToGrid w:val="0"/>
                <w:color w:val="auto"/>
                <w:spacing w:val="5"/>
                <w:kern w:val="0"/>
                <w:sz w:val="28"/>
                <w:szCs w:val="28"/>
                <w:lang w:val="en-US" w:eastAsia="en-US" w:bidi="ar-SA"/>
              </w:rPr>
              <w:t>内非人为损坏</w:t>
            </w:r>
            <w:r>
              <w:rPr>
                <w:rFonts w:hint="eastAsia" w:ascii="方正仿宋_GB2312" w:hAnsi="方正仿宋_GB2312" w:eastAsia="方正仿宋_GB2312" w:cs="方正仿宋_GB2312"/>
                <w:snapToGrid w:val="0"/>
                <w:color w:val="auto"/>
                <w:spacing w:val="5"/>
                <w:kern w:val="0"/>
                <w:sz w:val="28"/>
                <w:szCs w:val="28"/>
                <w:lang w:val="en-US" w:eastAsia="zh-CN" w:bidi="ar-SA"/>
              </w:rPr>
              <w:t>负责</w:t>
            </w:r>
            <w:r>
              <w:rPr>
                <w:rFonts w:hint="eastAsia" w:ascii="方正仿宋_GB2312" w:hAnsi="方正仿宋_GB2312" w:eastAsia="方正仿宋_GB2312" w:cs="方正仿宋_GB2312"/>
                <w:snapToGrid w:val="0"/>
                <w:color w:val="auto"/>
                <w:spacing w:val="5"/>
                <w:kern w:val="0"/>
                <w:sz w:val="28"/>
                <w:szCs w:val="28"/>
                <w:lang w:val="en-US" w:eastAsia="en-US" w:bidi="ar-SA"/>
              </w:rPr>
              <w:t>更换所有故障零配件，并</w:t>
            </w:r>
            <w:r>
              <w:rPr>
                <w:rFonts w:hint="eastAsia" w:ascii="方正仿宋_GB2312" w:hAnsi="方正仿宋_GB2312" w:eastAsia="方正仿宋_GB2312" w:cs="方正仿宋_GB2312"/>
                <w:snapToGrid w:val="0"/>
                <w:color w:val="auto"/>
                <w:spacing w:val="5"/>
                <w:kern w:val="0"/>
                <w:sz w:val="28"/>
                <w:szCs w:val="28"/>
                <w:lang w:val="en-US" w:eastAsia="zh-CN" w:bidi="ar-SA"/>
              </w:rPr>
              <w:t>负责</w:t>
            </w:r>
            <w:r>
              <w:rPr>
                <w:rFonts w:hint="eastAsia" w:ascii="方正仿宋_GB2312" w:hAnsi="方正仿宋_GB2312" w:eastAsia="方正仿宋_GB2312" w:cs="方正仿宋_GB2312"/>
                <w:snapToGrid w:val="0"/>
                <w:color w:val="auto"/>
                <w:spacing w:val="5"/>
                <w:kern w:val="0"/>
                <w:sz w:val="28"/>
                <w:szCs w:val="28"/>
                <w:lang w:val="en-US" w:eastAsia="en-US" w:bidi="ar-SA"/>
              </w:rPr>
              <w:t>提供设备的系统软件及硬件的安全性改版升级和技术支持，确保设备正常运行，</w:t>
            </w:r>
            <w:r>
              <w:rPr>
                <w:rFonts w:hint="eastAsia" w:ascii="方正仿宋_GB2312" w:hAnsi="方正仿宋_GB2312" w:eastAsia="方正仿宋_GB2312" w:cs="方正仿宋_GB2312"/>
                <w:snapToGrid w:val="0"/>
                <w:color w:val="auto"/>
                <w:spacing w:val="5"/>
                <w:kern w:val="0"/>
                <w:sz w:val="28"/>
                <w:szCs w:val="28"/>
                <w:lang w:val="en-US" w:eastAsia="zh-CN" w:bidi="ar-SA"/>
              </w:rPr>
              <w:t>质保期</w:t>
            </w:r>
            <w:r>
              <w:rPr>
                <w:rFonts w:hint="eastAsia" w:ascii="方正仿宋_GB2312" w:hAnsi="方正仿宋_GB2312" w:eastAsia="方正仿宋_GB2312" w:cs="方正仿宋_GB2312"/>
                <w:snapToGrid w:val="0"/>
                <w:color w:val="auto"/>
                <w:spacing w:val="5"/>
                <w:kern w:val="0"/>
                <w:sz w:val="28"/>
                <w:szCs w:val="28"/>
                <w:lang w:val="en-US" w:eastAsia="en-US" w:bidi="ar-SA"/>
              </w:rPr>
              <w:t>满后，终身维护。</w:t>
            </w:r>
          </w:p>
          <w:p w14:paraId="6BF3D693">
            <w:pPr>
              <w:pStyle w:val="12"/>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left="63" w:leftChars="30" w:firstLine="290" w:firstLineChars="100"/>
              <w:textAlignment w:val="baseline"/>
              <w:outlineLvl w:val="0"/>
              <w:rPr>
                <w:rFonts w:hint="eastAsia" w:ascii="方正仿宋_GB2312" w:hAnsi="方正仿宋_GB2312" w:eastAsia="方正仿宋_GB2312" w:cs="方正仿宋_GB2312"/>
                <w:snapToGrid w:val="0"/>
                <w:color w:val="auto"/>
                <w:spacing w:val="5"/>
                <w:kern w:val="0"/>
                <w:sz w:val="28"/>
                <w:szCs w:val="28"/>
                <w:lang w:val="en-US" w:eastAsia="zh-CN" w:bidi="ar-SA"/>
              </w:rPr>
            </w:pPr>
            <w:r>
              <w:rPr>
                <w:rFonts w:hint="eastAsia" w:ascii="方正仿宋_GB2312" w:hAnsi="方正仿宋_GB2312" w:eastAsia="方正仿宋_GB2312" w:cs="方正仿宋_GB2312"/>
                <w:snapToGrid w:val="0"/>
                <w:color w:val="auto"/>
                <w:spacing w:val="5"/>
                <w:kern w:val="0"/>
                <w:sz w:val="28"/>
                <w:szCs w:val="28"/>
                <w:lang w:val="en-US" w:eastAsia="zh-CN" w:bidi="ar-SA"/>
              </w:rPr>
              <w:t>2.质保期</w:t>
            </w:r>
            <w:r>
              <w:rPr>
                <w:rFonts w:hint="eastAsia" w:ascii="方正仿宋_GB2312" w:hAnsi="方正仿宋_GB2312" w:eastAsia="方正仿宋_GB2312" w:cs="方正仿宋_GB2312"/>
                <w:snapToGrid w:val="0"/>
                <w:color w:val="auto"/>
                <w:spacing w:val="5"/>
                <w:kern w:val="0"/>
                <w:sz w:val="28"/>
                <w:szCs w:val="28"/>
                <w:lang w:val="en-US" w:eastAsia="en-US" w:bidi="ar-SA"/>
              </w:rPr>
              <w:t>满后，按照</w:t>
            </w:r>
            <w:r>
              <w:rPr>
                <w:rFonts w:hint="eastAsia" w:ascii="方正仿宋_GB2312" w:hAnsi="方正仿宋_GB2312" w:eastAsia="方正仿宋_GB2312" w:cs="方正仿宋_GB2312"/>
                <w:snapToGrid w:val="0"/>
                <w:color w:val="auto"/>
                <w:spacing w:val="5"/>
                <w:kern w:val="0"/>
                <w:sz w:val="28"/>
                <w:szCs w:val="28"/>
                <w:lang w:val="en-US" w:eastAsia="zh-CN" w:bidi="ar-SA"/>
              </w:rPr>
              <w:t>质保期</w:t>
            </w:r>
            <w:r>
              <w:rPr>
                <w:rFonts w:hint="eastAsia" w:ascii="方正仿宋_GB2312" w:hAnsi="方正仿宋_GB2312" w:eastAsia="方正仿宋_GB2312" w:cs="方正仿宋_GB2312"/>
                <w:snapToGrid w:val="0"/>
                <w:color w:val="auto"/>
                <w:spacing w:val="5"/>
                <w:kern w:val="0"/>
                <w:sz w:val="28"/>
                <w:szCs w:val="28"/>
                <w:lang w:val="en-US" w:eastAsia="en-US" w:bidi="ar-SA"/>
              </w:rPr>
              <w:t>内售后服务内容及标准继续提供</w:t>
            </w:r>
            <w:r>
              <w:rPr>
                <w:rFonts w:hint="eastAsia" w:ascii="方正仿宋_GB2312" w:hAnsi="方正仿宋_GB2312" w:eastAsia="方正仿宋_GB2312" w:cs="方正仿宋_GB2312"/>
                <w:snapToGrid w:val="0"/>
                <w:color w:val="auto"/>
                <w:spacing w:val="5"/>
                <w:kern w:val="0"/>
                <w:sz w:val="28"/>
                <w:szCs w:val="28"/>
                <w:lang w:val="en-US" w:eastAsia="zh-CN" w:bidi="ar-SA"/>
              </w:rPr>
              <w:t>保修</w:t>
            </w:r>
            <w:r>
              <w:rPr>
                <w:rFonts w:hint="eastAsia" w:ascii="方正仿宋_GB2312" w:hAnsi="方正仿宋_GB2312" w:eastAsia="方正仿宋_GB2312" w:cs="方正仿宋_GB2312"/>
                <w:snapToGrid w:val="0"/>
                <w:color w:val="auto"/>
                <w:spacing w:val="5"/>
                <w:kern w:val="0"/>
                <w:sz w:val="28"/>
                <w:szCs w:val="28"/>
                <w:lang w:val="en-US" w:eastAsia="en-US" w:bidi="ar-SA"/>
              </w:rPr>
              <w:t>服务，直至采购人确认更换</w:t>
            </w:r>
            <w:r>
              <w:rPr>
                <w:rFonts w:hint="eastAsia" w:ascii="方正仿宋_GB2312" w:hAnsi="方正仿宋_GB2312" w:eastAsia="方正仿宋_GB2312" w:cs="方正仿宋_GB2312"/>
                <w:snapToGrid w:val="0"/>
                <w:color w:val="auto"/>
                <w:spacing w:val="5"/>
                <w:kern w:val="0"/>
                <w:sz w:val="28"/>
                <w:szCs w:val="28"/>
                <w:lang w:val="en-US" w:eastAsia="zh-CN" w:bidi="ar-SA"/>
              </w:rPr>
              <w:t>保修</w:t>
            </w:r>
            <w:r>
              <w:rPr>
                <w:rFonts w:hint="eastAsia" w:ascii="方正仿宋_GB2312" w:hAnsi="方正仿宋_GB2312" w:eastAsia="方正仿宋_GB2312" w:cs="方正仿宋_GB2312"/>
                <w:snapToGrid w:val="0"/>
                <w:color w:val="auto"/>
                <w:spacing w:val="5"/>
                <w:kern w:val="0"/>
                <w:sz w:val="28"/>
                <w:szCs w:val="28"/>
                <w:lang w:val="en-US" w:eastAsia="en-US" w:bidi="ar-SA"/>
              </w:rPr>
              <w:t>单位或设备报废。不能因</w:t>
            </w:r>
            <w:r>
              <w:rPr>
                <w:rFonts w:hint="eastAsia" w:ascii="方正仿宋_GB2312" w:hAnsi="方正仿宋_GB2312" w:eastAsia="方正仿宋_GB2312" w:cs="方正仿宋_GB2312"/>
                <w:snapToGrid w:val="0"/>
                <w:color w:val="auto"/>
                <w:spacing w:val="5"/>
                <w:kern w:val="0"/>
                <w:sz w:val="28"/>
                <w:szCs w:val="28"/>
                <w:lang w:val="en-US" w:eastAsia="zh-CN" w:bidi="ar-SA"/>
              </w:rPr>
              <w:t>质保期</w:t>
            </w:r>
            <w:r>
              <w:rPr>
                <w:rFonts w:hint="eastAsia" w:ascii="方正仿宋_GB2312" w:hAnsi="方正仿宋_GB2312" w:eastAsia="方正仿宋_GB2312" w:cs="方正仿宋_GB2312"/>
                <w:snapToGrid w:val="0"/>
                <w:color w:val="auto"/>
                <w:spacing w:val="5"/>
                <w:kern w:val="0"/>
                <w:sz w:val="28"/>
                <w:szCs w:val="28"/>
                <w:lang w:val="en-US" w:eastAsia="en-US" w:bidi="ar-SA"/>
              </w:rPr>
              <w:t>满而出现缓修、拒修等情况，维修所产生费用由</w:t>
            </w:r>
            <w:r>
              <w:rPr>
                <w:rFonts w:hint="eastAsia" w:ascii="方正仿宋_GB2312" w:hAnsi="方正仿宋_GB2312" w:eastAsia="方正仿宋_GB2312" w:cs="方正仿宋_GB2312"/>
                <w:snapToGrid w:val="0"/>
                <w:color w:val="auto"/>
                <w:spacing w:val="5"/>
                <w:kern w:val="0"/>
                <w:sz w:val="28"/>
                <w:szCs w:val="28"/>
                <w:lang w:val="en-US" w:eastAsia="zh-CN" w:bidi="ar-SA"/>
              </w:rPr>
              <w:t>中标人</w:t>
            </w:r>
            <w:r>
              <w:rPr>
                <w:rFonts w:hint="eastAsia" w:ascii="方正仿宋_GB2312" w:hAnsi="方正仿宋_GB2312" w:eastAsia="方正仿宋_GB2312" w:cs="方正仿宋_GB2312"/>
                <w:snapToGrid w:val="0"/>
                <w:color w:val="auto"/>
                <w:spacing w:val="5"/>
                <w:kern w:val="0"/>
                <w:sz w:val="28"/>
                <w:szCs w:val="28"/>
                <w:lang w:val="en-US" w:eastAsia="en-US" w:bidi="ar-SA"/>
              </w:rPr>
              <w:t>和采购人另行结算。</w:t>
            </w:r>
            <w:r>
              <w:rPr>
                <w:rFonts w:hint="eastAsia" w:ascii="方正仿宋_GB2312" w:hAnsi="方正仿宋_GB2312" w:eastAsia="方正仿宋_GB2312" w:cs="方正仿宋_GB2312"/>
                <w:snapToGrid w:val="0"/>
                <w:color w:val="auto"/>
                <w:spacing w:val="5"/>
                <w:kern w:val="0"/>
                <w:sz w:val="28"/>
                <w:szCs w:val="28"/>
                <w:lang w:val="en-US" w:eastAsia="zh-CN" w:bidi="ar-SA"/>
              </w:rPr>
              <w:t>保修</w:t>
            </w:r>
            <w:r>
              <w:rPr>
                <w:rFonts w:hint="eastAsia" w:ascii="方正仿宋_GB2312" w:hAnsi="方正仿宋_GB2312" w:eastAsia="方正仿宋_GB2312" w:cs="方正仿宋_GB2312"/>
                <w:snapToGrid w:val="0"/>
                <w:color w:val="auto"/>
                <w:spacing w:val="5"/>
                <w:kern w:val="0"/>
                <w:sz w:val="28"/>
                <w:szCs w:val="28"/>
                <w:lang w:val="en-US" w:eastAsia="en-US" w:bidi="ar-SA"/>
              </w:rPr>
              <w:t>金额每年不得超过合同额的10%，</w:t>
            </w:r>
            <w:r>
              <w:rPr>
                <w:rFonts w:hint="eastAsia" w:ascii="方正仿宋_GB2312" w:hAnsi="方正仿宋_GB2312" w:eastAsia="方正仿宋_GB2312" w:cs="方正仿宋_GB2312"/>
                <w:snapToGrid w:val="0"/>
                <w:color w:val="auto"/>
                <w:spacing w:val="5"/>
                <w:kern w:val="0"/>
                <w:sz w:val="28"/>
                <w:szCs w:val="28"/>
                <w:lang w:val="en-US" w:eastAsia="zh-CN" w:bidi="ar-SA"/>
              </w:rPr>
              <w:t>保修</w:t>
            </w:r>
            <w:r>
              <w:rPr>
                <w:rFonts w:hint="eastAsia" w:ascii="方正仿宋_GB2312" w:hAnsi="方正仿宋_GB2312" w:eastAsia="方正仿宋_GB2312" w:cs="方正仿宋_GB2312"/>
                <w:snapToGrid w:val="0"/>
                <w:color w:val="auto"/>
                <w:spacing w:val="5"/>
                <w:kern w:val="0"/>
                <w:sz w:val="28"/>
                <w:szCs w:val="28"/>
                <w:lang w:val="en-US" w:eastAsia="en-US" w:bidi="ar-SA"/>
              </w:rPr>
              <w:t>成本超过该数额的一概由</w:t>
            </w:r>
            <w:r>
              <w:rPr>
                <w:rFonts w:hint="eastAsia" w:ascii="方正仿宋_GB2312" w:hAnsi="方正仿宋_GB2312" w:eastAsia="方正仿宋_GB2312" w:cs="方正仿宋_GB2312"/>
                <w:snapToGrid w:val="0"/>
                <w:color w:val="auto"/>
                <w:spacing w:val="5"/>
                <w:kern w:val="0"/>
                <w:sz w:val="28"/>
                <w:szCs w:val="28"/>
                <w:lang w:val="en-US" w:eastAsia="zh-CN" w:bidi="ar-SA"/>
              </w:rPr>
              <w:t>中标人</w:t>
            </w:r>
            <w:r>
              <w:rPr>
                <w:rFonts w:hint="eastAsia" w:ascii="方正仿宋_GB2312" w:hAnsi="方正仿宋_GB2312" w:eastAsia="方正仿宋_GB2312" w:cs="方正仿宋_GB2312"/>
                <w:snapToGrid w:val="0"/>
                <w:color w:val="auto"/>
                <w:spacing w:val="5"/>
                <w:kern w:val="0"/>
                <w:sz w:val="28"/>
                <w:szCs w:val="28"/>
                <w:lang w:val="en-US" w:eastAsia="en-US" w:bidi="ar-SA"/>
              </w:rPr>
              <w:t>自行承担，项目</w:t>
            </w:r>
            <w:r>
              <w:rPr>
                <w:rFonts w:hint="eastAsia" w:ascii="方正仿宋_GB2312" w:hAnsi="方正仿宋_GB2312" w:eastAsia="方正仿宋_GB2312" w:cs="方正仿宋_GB2312"/>
                <w:snapToGrid w:val="0"/>
                <w:color w:val="auto"/>
                <w:spacing w:val="5"/>
                <w:kern w:val="0"/>
                <w:sz w:val="28"/>
                <w:szCs w:val="28"/>
                <w:lang w:val="en-US" w:eastAsia="zh-CN" w:bidi="ar-SA"/>
              </w:rPr>
              <w:t>质保期</w:t>
            </w:r>
            <w:r>
              <w:rPr>
                <w:rFonts w:hint="eastAsia" w:ascii="方正仿宋_GB2312" w:hAnsi="方正仿宋_GB2312" w:eastAsia="方正仿宋_GB2312" w:cs="方正仿宋_GB2312"/>
                <w:snapToGrid w:val="0"/>
                <w:color w:val="auto"/>
                <w:spacing w:val="5"/>
                <w:kern w:val="0"/>
                <w:sz w:val="28"/>
                <w:szCs w:val="28"/>
                <w:lang w:val="en-US" w:eastAsia="en-US" w:bidi="ar-SA"/>
              </w:rPr>
              <w:t>满后</w:t>
            </w:r>
            <w:r>
              <w:rPr>
                <w:rFonts w:hint="eastAsia" w:ascii="方正仿宋_GB2312" w:hAnsi="方正仿宋_GB2312" w:eastAsia="方正仿宋_GB2312" w:cs="方正仿宋_GB2312"/>
                <w:snapToGrid w:val="0"/>
                <w:color w:val="auto"/>
                <w:spacing w:val="5"/>
                <w:kern w:val="0"/>
                <w:sz w:val="28"/>
                <w:szCs w:val="28"/>
                <w:lang w:val="en-US" w:eastAsia="zh-CN" w:bidi="ar-SA"/>
              </w:rPr>
              <w:t>可</w:t>
            </w:r>
            <w:r>
              <w:rPr>
                <w:rFonts w:hint="eastAsia" w:ascii="方正仿宋_GB2312" w:hAnsi="方正仿宋_GB2312" w:eastAsia="方正仿宋_GB2312" w:cs="方正仿宋_GB2312"/>
                <w:snapToGrid w:val="0"/>
                <w:color w:val="auto"/>
                <w:spacing w:val="5"/>
                <w:kern w:val="0"/>
                <w:sz w:val="28"/>
                <w:szCs w:val="28"/>
                <w:lang w:val="en-US" w:eastAsia="en-US" w:bidi="ar-SA"/>
              </w:rPr>
              <w:t>签订维护和售后服务合同，具体事项以实际谈判为准。设备若因故障导致</w:t>
            </w:r>
            <w:r>
              <w:rPr>
                <w:rFonts w:hint="eastAsia" w:ascii="方正仿宋_GB2312" w:hAnsi="方正仿宋_GB2312" w:eastAsia="方正仿宋_GB2312" w:cs="方正仿宋_GB2312"/>
                <w:snapToGrid w:val="0"/>
                <w:color w:val="auto"/>
                <w:spacing w:val="5"/>
                <w:kern w:val="0"/>
                <w:sz w:val="28"/>
                <w:szCs w:val="28"/>
                <w:lang w:val="en-US" w:eastAsia="zh-CN" w:bidi="ar-SA"/>
              </w:rPr>
              <w:t>5个工作日</w:t>
            </w:r>
            <w:r>
              <w:rPr>
                <w:rFonts w:hint="eastAsia" w:ascii="方正仿宋_GB2312" w:hAnsi="方正仿宋_GB2312" w:eastAsia="方正仿宋_GB2312" w:cs="方正仿宋_GB2312"/>
                <w:snapToGrid w:val="0"/>
                <w:color w:val="auto"/>
                <w:spacing w:val="5"/>
                <w:kern w:val="0"/>
                <w:sz w:val="28"/>
                <w:szCs w:val="28"/>
                <w:lang w:val="en-US" w:eastAsia="en-US" w:bidi="ar-SA"/>
              </w:rPr>
              <w:t>无法正常使用，或临床所需等其他因素，须提供备用机维持医院正常诊疗活动。</w:t>
            </w:r>
          </w:p>
          <w:p w14:paraId="11EEC3C4">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290" w:firstLineChars="100"/>
              <w:textAlignment w:val="baseline"/>
              <w:rPr>
                <w:rFonts w:hint="eastAsia" w:ascii="方正仿宋_GB2312" w:hAnsi="方正仿宋_GB2312" w:eastAsia="方正仿宋_GB2312" w:cs="方正仿宋_GB2312"/>
                <w:b/>
                <w:bCs/>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lang w:val="en-US" w:eastAsia="zh-CN"/>
              </w:rPr>
              <w:t>3</w:t>
            </w:r>
            <w:r>
              <w:rPr>
                <w:rFonts w:hint="eastAsia" w:ascii="方正仿宋_GB2312" w:hAnsi="方正仿宋_GB2312" w:eastAsia="方正仿宋_GB2312" w:cs="方正仿宋_GB2312"/>
                <w:snapToGrid w:val="0"/>
                <w:color w:val="auto"/>
                <w:spacing w:val="5"/>
                <w:kern w:val="0"/>
                <w:sz w:val="28"/>
                <w:szCs w:val="28"/>
              </w:rPr>
              <w:t>.要求投标货物是全新的、未经改装的、合格的、满足本项目技术需求及要求的货物</w:t>
            </w:r>
            <w:r>
              <w:rPr>
                <w:rFonts w:hint="eastAsia" w:ascii="方正仿宋_GB2312" w:hAnsi="方正仿宋_GB2312" w:eastAsia="方正仿宋_GB2312" w:cs="方正仿宋_GB2312"/>
                <w:b/>
                <w:bCs/>
                <w:snapToGrid w:val="0"/>
                <w:color w:val="auto"/>
                <w:spacing w:val="5"/>
                <w:kern w:val="0"/>
                <w:sz w:val="28"/>
                <w:szCs w:val="28"/>
              </w:rPr>
              <w:t>。</w:t>
            </w:r>
            <w:r>
              <w:rPr>
                <w:rFonts w:hint="eastAsia" w:ascii="方正仿宋_GB2312" w:hAnsi="方正仿宋_GB2312" w:eastAsia="方正仿宋_GB2312" w:cs="方正仿宋_GB2312"/>
                <w:b w:val="0"/>
                <w:bCs w:val="0"/>
                <w:snapToGrid w:val="0"/>
                <w:color w:val="auto"/>
                <w:spacing w:val="5"/>
                <w:kern w:val="0"/>
                <w:sz w:val="28"/>
                <w:szCs w:val="28"/>
              </w:rPr>
              <w:t>所有零部件、配件必须是未经使用的全新的并符合国家有关质量安全标准的产品。</w:t>
            </w:r>
          </w:p>
          <w:p w14:paraId="6E30F8D6">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b w:val="0"/>
                <w:bCs w:val="0"/>
                <w:snapToGrid w:val="0"/>
                <w:color w:val="auto"/>
                <w:spacing w:val="5"/>
                <w:kern w:val="0"/>
                <w:sz w:val="28"/>
                <w:szCs w:val="28"/>
                <w:lang w:val="en-US" w:eastAsia="zh-CN"/>
              </w:rPr>
              <w:t>4</w:t>
            </w:r>
            <w:r>
              <w:rPr>
                <w:rFonts w:hint="eastAsia" w:ascii="方正仿宋_GB2312" w:hAnsi="方正仿宋_GB2312" w:eastAsia="方正仿宋_GB2312" w:cs="方正仿宋_GB2312"/>
                <w:b w:val="0"/>
                <w:bCs w:val="0"/>
                <w:snapToGrid w:val="0"/>
                <w:color w:val="auto"/>
                <w:spacing w:val="5"/>
                <w:kern w:val="0"/>
                <w:sz w:val="28"/>
                <w:szCs w:val="28"/>
              </w:rPr>
              <w:t>.</w:t>
            </w:r>
            <w:r>
              <w:rPr>
                <w:rFonts w:hint="eastAsia" w:ascii="方正仿宋_GB2312" w:hAnsi="方正仿宋_GB2312" w:eastAsia="方正仿宋_GB2312" w:cs="方正仿宋_GB2312"/>
                <w:b w:val="0"/>
                <w:bCs w:val="0"/>
                <w:snapToGrid w:val="0"/>
                <w:color w:val="auto"/>
                <w:spacing w:val="5"/>
                <w:kern w:val="0"/>
                <w:sz w:val="28"/>
                <w:szCs w:val="28"/>
                <w:lang w:eastAsia="zh-CN"/>
              </w:rPr>
              <w:t>质保期</w:t>
            </w:r>
            <w:r>
              <w:rPr>
                <w:rFonts w:hint="eastAsia" w:ascii="方正仿宋_GB2312" w:hAnsi="方正仿宋_GB2312" w:eastAsia="方正仿宋_GB2312" w:cs="方正仿宋_GB2312"/>
                <w:b w:val="0"/>
                <w:bCs w:val="0"/>
                <w:snapToGrid w:val="0"/>
                <w:color w:val="auto"/>
                <w:spacing w:val="5"/>
                <w:kern w:val="0"/>
                <w:sz w:val="28"/>
                <w:szCs w:val="28"/>
              </w:rPr>
              <w:t>所更换的零配件必须是原</w:t>
            </w:r>
            <w:r>
              <w:rPr>
                <w:rFonts w:hint="eastAsia" w:ascii="方正仿宋_GB2312" w:hAnsi="方正仿宋_GB2312" w:eastAsia="方正仿宋_GB2312" w:cs="方正仿宋_GB2312"/>
                <w:snapToGrid w:val="0"/>
                <w:color w:val="auto"/>
                <w:spacing w:val="5"/>
                <w:kern w:val="0"/>
                <w:sz w:val="28"/>
                <w:szCs w:val="28"/>
              </w:rPr>
              <w:t>厂全新的零配件，满足设备运行要求。</w:t>
            </w:r>
          </w:p>
          <w:p w14:paraId="21CE06EC">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lang w:val="en-US" w:eastAsia="zh-CN"/>
              </w:rPr>
              <w:t>5</w:t>
            </w:r>
            <w:r>
              <w:rPr>
                <w:rFonts w:hint="eastAsia" w:ascii="方正仿宋_GB2312" w:hAnsi="方正仿宋_GB2312" w:eastAsia="方正仿宋_GB2312" w:cs="方正仿宋_GB2312"/>
                <w:snapToGrid w:val="0"/>
                <w:color w:val="auto"/>
                <w:spacing w:val="5"/>
                <w:kern w:val="0"/>
                <w:sz w:val="28"/>
                <w:szCs w:val="28"/>
              </w:rPr>
              <w:t>.</w:t>
            </w:r>
            <w:r>
              <w:rPr>
                <w:rFonts w:hint="eastAsia" w:ascii="方正仿宋_GB2312" w:hAnsi="方正仿宋_GB2312" w:eastAsia="方正仿宋_GB2312" w:cs="方正仿宋_GB2312"/>
                <w:snapToGrid w:val="0"/>
                <w:color w:val="auto"/>
                <w:spacing w:val="5"/>
                <w:kern w:val="0"/>
                <w:sz w:val="28"/>
                <w:szCs w:val="28"/>
                <w:lang w:eastAsia="zh-CN"/>
              </w:rPr>
              <w:t>质保期</w:t>
            </w:r>
            <w:r>
              <w:rPr>
                <w:rFonts w:hint="eastAsia" w:ascii="方正仿宋_GB2312" w:hAnsi="方正仿宋_GB2312" w:eastAsia="方正仿宋_GB2312" w:cs="方正仿宋_GB2312"/>
                <w:snapToGrid w:val="0"/>
                <w:color w:val="auto"/>
                <w:spacing w:val="5"/>
                <w:kern w:val="0"/>
                <w:sz w:val="28"/>
                <w:szCs w:val="28"/>
              </w:rPr>
              <w:t>承诺优于国家“三包”规定的，或优于招标文件规定的，按投标人实际承诺执行。</w:t>
            </w:r>
          </w:p>
          <w:p w14:paraId="4BAE1D0F">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6"/>
                <w:kern w:val="0"/>
                <w:sz w:val="28"/>
                <w:szCs w:val="28"/>
              </w:rPr>
            </w:pPr>
            <w:r>
              <w:rPr>
                <w:rFonts w:hint="eastAsia" w:ascii="方正仿宋_GB2312" w:hAnsi="方正仿宋_GB2312" w:eastAsia="方正仿宋_GB2312" w:cs="方正仿宋_GB2312"/>
                <w:snapToGrid w:val="0"/>
                <w:color w:val="auto"/>
                <w:spacing w:val="5"/>
                <w:kern w:val="0"/>
                <w:sz w:val="28"/>
                <w:szCs w:val="28"/>
                <w:lang w:val="en-US" w:eastAsia="zh-CN"/>
              </w:rPr>
              <w:t>6.</w:t>
            </w:r>
            <w:r>
              <w:rPr>
                <w:rFonts w:hint="eastAsia" w:ascii="方正仿宋_GB2312" w:hAnsi="方正仿宋_GB2312" w:eastAsia="方正仿宋_GB2312" w:cs="方正仿宋_GB2312"/>
                <w:snapToGrid w:val="0"/>
                <w:color w:val="auto"/>
                <w:spacing w:val="5"/>
                <w:kern w:val="0"/>
                <w:sz w:val="28"/>
                <w:szCs w:val="28"/>
              </w:rPr>
              <w:t>若在使用的前3个月内，出现非人为操作失误的重大故障，</w:t>
            </w:r>
            <w:r>
              <w:rPr>
                <w:rFonts w:hint="eastAsia" w:ascii="方正仿宋_GB2312" w:hAnsi="方正仿宋_GB2312" w:eastAsia="方正仿宋_GB2312" w:cs="方正仿宋_GB2312"/>
                <w:snapToGrid w:val="0"/>
                <w:color w:val="auto"/>
                <w:spacing w:val="5"/>
                <w:kern w:val="0"/>
                <w:sz w:val="28"/>
                <w:szCs w:val="28"/>
                <w:lang w:val="en-US" w:eastAsia="zh-CN"/>
              </w:rPr>
              <w:t>中标人</w:t>
            </w:r>
            <w:r>
              <w:rPr>
                <w:rFonts w:hint="eastAsia" w:ascii="方正仿宋_GB2312" w:hAnsi="方正仿宋_GB2312" w:eastAsia="方正仿宋_GB2312" w:cs="方正仿宋_GB2312"/>
                <w:snapToGrid w:val="0"/>
                <w:color w:val="auto"/>
                <w:spacing w:val="5"/>
                <w:kern w:val="0"/>
                <w:sz w:val="28"/>
                <w:szCs w:val="28"/>
              </w:rPr>
              <w:t>应予以</w:t>
            </w:r>
            <w:r>
              <w:rPr>
                <w:rFonts w:hint="eastAsia" w:ascii="方正仿宋_GB2312" w:hAnsi="方正仿宋_GB2312" w:eastAsia="方正仿宋_GB2312" w:cs="方正仿宋_GB2312"/>
                <w:snapToGrid w:val="0"/>
                <w:color w:val="auto"/>
                <w:spacing w:val="5"/>
                <w:kern w:val="0"/>
                <w:sz w:val="28"/>
                <w:szCs w:val="28"/>
                <w:lang w:val="en-US" w:eastAsia="zh-CN"/>
              </w:rPr>
              <w:t>负责</w:t>
            </w:r>
            <w:r>
              <w:rPr>
                <w:rFonts w:hint="eastAsia" w:ascii="方正仿宋_GB2312" w:hAnsi="方正仿宋_GB2312" w:eastAsia="方正仿宋_GB2312" w:cs="方正仿宋_GB2312"/>
                <w:snapToGrid w:val="0"/>
                <w:color w:val="auto"/>
                <w:spacing w:val="5"/>
                <w:kern w:val="0"/>
                <w:sz w:val="28"/>
                <w:szCs w:val="28"/>
              </w:rPr>
              <w:t>换货。</w:t>
            </w:r>
          </w:p>
        </w:tc>
      </w:tr>
      <w:tr w14:paraId="44D86D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B9BD6E">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bookmarkStart w:id="5" w:name="_Toc204778404"/>
          </w:p>
          <w:p w14:paraId="079C4DB8">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p>
          <w:p w14:paraId="182829C6">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p>
          <w:p w14:paraId="16237F22">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r>
              <w:rPr>
                <w:rFonts w:hint="eastAsia" w:ascii="方正仿宋_GB2312" w:hAnsi="方正仿宋_GB2312" w:eastAsia="方正仿宋_GB2312" w:cs="方正仿宋_GB2312"/>
                <w:snapToGrid w:val="0"/>
                <w:color w:val="auto"/>
                <w:spacing w:val="6"/>
                <w:sz w:val="28"/>
                <w:szCs w:val="28"/>
              </w:rPr>
              <w:t>5</w:t>
            </w:r>
            <w:bookmarkEnd w:id="5"/>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148D70">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bookmarkStart w:id="6" w:name="_Toc204778405"/>
          </w:p>
          <w:p w14:paraId="355FF372">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p>
          <w:p w14:paraId="3010E061">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p>
          <w:p w14:paraId="198CC69B">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r>
              <w:rPr>
                <w:rFonts w:hint="eastAsia" w:ascii="方正仿宋_GB2312" w:hAnsi="方正仿宋_GB2312" w:eastAsia="方正仿宋_GB2312" w:cs="方正仿宋_GB2312"/>
                <w:snapToGrid w:val="0"/>
                <w:color w:val="auto"/>
                <w:spacing w:val="6"/>
                <w:sz w:val="28"/>
                <w:szCs w:val="28"/>
              </w:rPr>
              <w:t>售后服务要求</w:t>
            </w:r>
            <w:bookmarkEnd w:id="6"/>
          </w:p>
        </w:tc>
        <w:tc>
          <w:tcPr>
            <w:tcW w:w="4042" w:type="pct"/>
            <w:tcBorders>
              <w:top w:val="single" w:color="000000" w:sz="4" w:space="0"/>
              <w:left w:val="single" w:color="000000" w:sz="4" w:space="0"/>
              <w:bottom w:val="single" w:color="000000" w:sz="4" w:space="0"/>
              <w:right w:val="single" w:color="000000" w:sz="4" w:space="0"/>
            </w:tcBorders>
            <w:shd w:val="clear" w:color="auto" w:fill="FFFFFF"/>
          </w:tcPr>
          <w:p w14:paraId="15815E98">
            <w:pPr>
              <w:keepLines w:val="0"/>
              <w:pageBreakBefore w:val="0"/>
              <w:overflowPunct/>
              <w:bidi w:val="0"/>
              <w:snapToGrid w:val="0"/>
              <w:spacing w:line="360" w:lineRule="exact"/>
              <w:ind w:firstLine="290" w:firstLineChars="100"/>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snapToGrid w:val="0"/>
                <w:color w:val="auto"/>
                <w:spacing w:val="5"/>
                <w:kern w:val="0"/>
                <w:sz w:val="28"/>
                <w:szCs w:val="28"/>
              </w:rPr>
              <w:t>1.提供维护手册、维修手册、软件备份、故障代码表、备件清单。</w:t>
            </w:r>
            <w:r>
              <w:rPr>
                <w:rFonts w:hint="eastAsia" w:ascii="方正仿宋_GB2312" w:hAnsi="方正仿宋_GB2312" w:eastAsia="方正仿宋_GB2312" w:cs="方正仿宋_GB2312"/>
                <w:snapToGrid w:val="0"/>
                <w:color w:val="auto"/>
                <w:spacing w:val="5"/>
                <w:kern w:val="0"/>
                <w:sz w:val="28"/>
                <w:szCs w:val="28"/>
                <w:lang w:eastAsia="zh-CN"/>
              </w:rPr>
              <w:t>质保期</w:t>
            </w:r>
            <w:r>
              <w:rPr>
                <w:rFonts w:hint="eastAsia" w:ascii="方正仿宋_GB2312" w:hAnsi="方正仿宋_GB2312" w:eastAsia="方正仿宋_GB2312" w:cs="方正仿宋_GB2312"/>
                <w:snapToGrid w:val="0"/>
                <w:color w:val="auto"/>
                <w:spacing w:val="5"/>
                <w:kern w:val="0"/>
                <w:sz w:val="28"/>
                <w:szCs w:val="28"/>
              </w:rPr>
              <w:t>外，无偿提供维修密码及所附软件在该项目的永久使用权。提供相关设备的维修工程师姓名及电话号码，人员更换需要及时通知采购人。如国内有400、800等电话维修系统的提供电话号码。</w:t>
            </w:r>
            <w:r>
              <w:rPr>
                <w:rFonts w:hint="eastAsia" w:ascii="方正仿宋_GB2312" w:hAnsi="方正仿宋_GB2312" w:eastAsia="方正仿宋_GB2312" w:cs="方正仿宋_GB2312"/>
                <w:snapToGrid w:val="0"/>
                <w:color w:val="auto"/>
                <w:spacing w:val="5"/>
                <w:kern w:val="0"/>
                <w:sz w:val="28"/>
                <w:szCs w:val="28"/>
                <w:lang w:eastAsia="zh-CN"/>
              </w:rPr>
              <w:t>具体的</w:t>
            </w:r>
            <w:r>
              <w:rPr>
                <w:rFonts w:hint="eastAsia" w:ascii="方正仿宋_GB2312" w:hAnsi="方正仿宋_GB2312" w:eastAsia="方正仿宋_GB2312" w:cs="方正仿宋_GB2312"/>
                <w:color w:val="auto"/>
                <w:sz w:val="28"/>
                <w:szCs w:val="28"/>
              </w:rPr>
              <w:t>维保技术人员配置与稳定性要求</w:t>
            </w:r>
            <w:r>
              <w:rPr>
                <w:rFonts w:hint="eastAsia" w:ascii="方正仿宋_GB2312" w:hAnsi="方正仿宋_GB2312" w:eastAsia="方正仿宋_GB2312" w:cs="方正仿宋_GB2312"/>
                <w:color w:val="auto"/>
                <w:sz w:val="28"/>
                <w:szCs w:val="28"/>
                <w:lang w:eastAsia="zh-CN"/>
              </w:rPr>
              <w:t>如下</w:t>
            </w:r>
          </w:p>
          <w:p w14:paraId="484F91C2">
            <w:pPr>
              <w:keepLines w:val="0"/>
              <w:pageBreakBefore w:val="0"/>
              <w:overflowPunct/>
              <w:bidi w:val="0"/>
              <w:snapToGrid w:val="0"/>
              <w:spacing w:line="360" w:lineRule="exact"/>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lang w:val="en-US" w:eastAsia="zh-CN"/>
              </w:rPr>
              <w:t>1</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 xml:space="preserve">团队配置： </w:t>
            </w:r>
            <w:r>
              <w:rPr>
                <w:rFonts w:hint="eastAsia" w:ascii="方正仿宋_GB2312" w:hAnsi="方正仿宋_GB2312" w:eastAsia="方正仿宋_GB2312" w:cs="方正仿宋_GB2312"/>
                <w:snapToGrid w:val="0"/>
                <w:color w:val="auto"/>
                <w:spacing w:val="5"/>
                <w:kern w:val="0"/>
                <w:sz w:val="28"/>
                <w:szCs w:val="28"/>
                <w:lang w:eastAsia="zh-CN"/>
              </w:rPr>
              <w:t>投标人</w:t>
            </w:r>
            <w:r>
              <w:rPr>
                <w:rFonts w:hint="eastAsia" w:ascii="方正仿宋_GB2312" w:hAnsi="方正仿宋_GB2312" w:eastAsia="方正仿宋_GB2312" w:cs="方正仿宋_GB2312"/>
                <w:snapToGrid w:val="0"/>
                <w:color w:val="auto"/>
                <w:spacing w:val="5"/>
                <w:kern w:val="0"/>
                <w:sz w:val="28"/>
                <w:szCs w:val="28"/>
              </w:rPr>
              <w:t>须组建专属维保服务团队，明确项目</w:t>
            </w:r>
            <w:r>
              <w:rPr>
                <w:rFonts w:hint="eastAsia" w:ascii="方正仿宋_GB2312" w:hAnsi="方正仿宋_GB2312" w:eastAsia="方正仿宋_GB2312" w:cs="方正仿宋_GB2312"/>
                <w:snapToGrid w:val="0"/>
                <w:color w:val="auto"/>
                <w:spacing w:val="5"/>
                <w:kern w:val="0"/>
                <w:sz w:val="28"/>
                <w:szCs w:val="28"/>
                <w:lang w:eastAsia="zh-CN"/>
              </w:rPr>
              <w:t>维保</w:t>
            </w:r>
            <w:r>
              <w:rPr>
                <w:rFonts w:hint="eastAsia" w:ascii="方正仿宋_GB2312" w:hAnsi="方正仿宋_GB2312" w:eastAsia="方正仿宋_GB2312" w:cs="方正仿宋_GB2312"/>
                <w:snapToGrid w:val="0"/>
                <w:color w:val="auto"/>
                <w:spacing w:val="5"/>
                <w:kern w:val="0"/>
                <w:sz w:val="28"/>
                <w:szCs w:val="28"/>
              </w:rPr>
              <w:t>负责人及技术人员名单。须提供团队成员的学历证明、职业资格证书及近</w:t>
            </w:r>
            <w:r>
              <w:rPr>
                <w:rFonts w:hint="eastAsia" w:ascii="方正仿宋_GB2312" w:hAnsi="方正仿宋_GB2312" w:eastAsia="方正仿宋_GB2312" w:cs="方正仿宋_GB2312"/>
                <w:snapToGrid w:val="0"/>
                <w:color w:val="auto"/>
                <w:spacing w:val="5"/>
                <w:kern w:val="0"/>
                <w:sz w:val="28"/>
                <w:szCs w:val="28"/>
                <w:lang w:eastAsia="zh-CN"/>
              </w:rPr>
              <w:t>三个月</w:t>
            </w:r>
            <w:r>
              <w:rPr>
                <w:rFonts w:hint="eastAsia" w:ascii="方正仿宋_GB2312" w:hAnsi="方正仿宋_GB2312" w:eastAsia="方正仿宋_GB2312" w:cs="方正仿宋_GB2312"/>
                <w:snapToGrid w:val="0"/>
                <w:color w:val="auto"/>
                <w:spacing w:val="5"/>
                <w:kern w:val="0"/>
                <w:sz w:val="28"/>
                <w:szCs w:val="28"/>
              </w:rPr>
              <w:t>社保缴纳证明。</w:t>
            </w:r>
          </w:p>
          <w:p w14:paraId="25DE0264">
            <w:pPr>
              <w:keepLines w:val="0"/>
              <w:pageBreakBefore w:val="0"/>
              <w:overflowPunct/>
              <w:bidi w:val="0"/>
              <w:snapToGrid w:val="0"/>
              <w:spacing w:line="360" w:lineRule="exact"/>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lang w:val="en-US" w:eastAsia="zh-CN"/>
              </w:rPr>
              <w:t>2</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 xml:space="preserve">人员稳定性承诺： </w:t>
            </w:r>
            <w:r>
              <w:rPr>
                <w:rFonts w:hint="eastAsia" w:ascii="方正仿宋_GB2312" w:hAnsi="方正仿宋_GB2312" w:eastAsia="方正仿宋_GB2312" w:cs="方正仿宋_GB2312"/>
                <w:snapToGrid w:val="0"/>
                <w:color w:val="auto"/>
                <w:spacing w:val="5"/>
                <w:kern w:val="0"/>
                <w:sz w:val="28"/>
                <w:szCs w:val="28"/>
                <w:lang w:eastAsia="zh-CN"/>
              </w:rPr>
              <w:t>投标人</w:t>
            </w:r>
            <w:r>
              <w:rPr>
                <w:rFonts w:hint="eastAsia" w:ascii="方正仿宋_GB2312" w:hAnsi="方正仿宋_GB2312" w:eastAsia="方正仿宋_GB2312" w:cs="方正仿宋_GB2312"/>
                <w:snapToGrid w:val="0"/>
                <w:color w:val="auto"/>
                <w:spacing w:val="5"/>
                <w:kern w:val="0"/>
                <w:sz w:val="28"/>
                <w:szCs w:val="28"/>
              </w:rPr>
              <w:t>须承诺在质保期内保持技术团队稳定，项目</w:t>
            </w:r>
            <w:r>
              <w:rPr>
                <w:rFonts w:hint="eastAsia" w:ascii="方正仿宋_GB2312" w:hAnsi="方正仿宋_GB2312" w:eastAsia="方正仿宋_GB2312" w:cs="方正仿宋_GB2312"/>
                <w:snapToGrid w:val="0"/>
                <w:color w:val="auto"/>
                <w:spacing w:val="5"/>
                <w:kern w:val="0"/>
                <w:sz w:val="28"/>
                <w:szCs w:val="28"/>
                <w:lang w:eastAsia="zh-CN"/>
              </w:rPr>
              <w:t>维保</w:t>
            </w:r>
            <w:r>
              <w:rPr>
                <w:rFonts w:hint="eastAsia" w:ascii="方正仿宋_GB2312" w:hAnsi="方正仿宋_GB2312" w:eastAsia="方正仿宋_GB2312" w:cs="方正仿宋_GB2312"/>
                <w:snapToGrid w:val="0"/>
                <w:color w:val="auto"/>
                <w:spacing w:val="5"/>
                <w:kern w:val="0"/>
                <w:sz w:val="28"/>
                <w:szCs w:val="28"/>
              </w:rPr>
              <w:t>负责人及核心技术人员未经采购人同意不得随意更换。</w:t>
            </w:r>
          </w:p>
          <w:p w14:paraId="5E129267">
            <w:pPr>
              <w:keepLines w:val="0"/>
              <w:pageBreakBefore w:val="0"/>
              <w:overflowPunct/>
              <w:bidi w:val="0"/>
              <w:snapToGrid w:val="0"/>
              <w:spacing w:line="360" w:lineRule="exact"/>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lang w:val="en-US" w:eastAsia="zh-CN"/>
              </w:rPr>
              <w:t>3</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人员变更机制： 确需更换人员的，须提前30个工作日书面通知采购人，并提交接替人员的资质证明，经采购人书面确认后方可更换。接替人员资质不得低于原人员。</w:t>
            </w:r>
          </w:p>
          <w:p w14:paraId="027E4304">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2.相关人员培训:标的包含医护人员及工程人员的培训计划费用，设备装机验收后，现场提供对采购人</w:t>
            </w:r>
            <w:r>
              <w:rPr>
                <w:rFonts w:hint="eastAsia" w:ascii="方正仿宋_GB2312" w:hAnsi="方正仿宋_GB2312" w:eastAsia="方正仿宋_GB2312" w:cs="方正仿宋_GB2312"/>
                <w:snapToGrid w:val="0"/>
                <w:color w:val="auto"/>
                <w:spacing w:val="5"/>
                <w:kern w:val="0"/>
                <w:sz w:val="28"/>
                <w:szCs w:val="28"/>
                <w:lang w:val="en-US" w:eastAsia="en-US" w:bidi="ar-SA"/>
              </w:rPr>
              <w:t>≥</w:t>
            </w:r>
            <w:r>
              <w:rPr>
                <w:rFonts w:hint="eastAsia" w:ascii="方正仿宋_GB2312" w:hAnsi="方正仿宋_GB2312" w:eastAsia="方正仿宋_GB2312" w:cs="方正仿宋_GB2312"/>
                <w:snapToGrid w:val="0"/>
                <w:color w:val="auto"/>
                <w:spacing w:val="5"/>
                <w:kern w:val="0"/>
                <w:sz w:val="28"/>
                <w:szCs w:val="28"/>
                <w:lang w:val="en-US" w:eastAsia="zh-CN" w:bidi="ar-SA"/>
              </w:rPr>
              <w:t>1次</w:t>
            </w:r>
            <w:r>
              <w:rPr>
                <w:rFonts w:hint="eastAsia" w:ascii="方正仿宋_GB2312" w:hAnsi="方正仿宋_GB2312" w:eastAsia="方正仿宋_GB2312" w:cs="方正仿宋_GB2312"/>
                <w:snapToGrid w:val="0"/>
                <w:color w:val="auto"/>
                <w:spacing w:val="5"/>
                <w:kern w:val="0"/>
                <w:sz w:val="28"/>
                <w:szCs w:val="28"/>
              </w:rPr>
              <w:t>基本培训，使采购人使用人员及工程人员，熟练掌握全部功能及基本维修。其中医务人员专项培训2人次，工程人员专项培训2人次，视采购人时间安排确定。</w:t>
            </w:r>
          </w:p>
          <w:p w14:paraId="4964611A">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3.提供7*24小时售后服务，接到采购人通知后2小时内作出实质响应（远程解决或做出预备维护动作），并在24小时内恢复设备运行；</w:t>
            </w:r>
          </w:p>
          <w:p w14:paraId="79BEBC1A">
            <w:pPr>
              <w:keepLines w:val="0"/>
              <w:pageBreakBefore w:val="0"/>
              <w:overflowPunct/>
              <w:bidi w:val="0"/>
              <w:snapToGrid w:val="0"/>
              <w:spacing w:line="360" w:lineRule="exact"/>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4.</w:t>
            </w:r>
            <w:r>
              <w:rPr>
                <w:rFonts w:hint="eastAsia" w:ascii="方正仿宋_GB2312" w:hAnsi="方正仿宋_GB2312" w:eastAsia="方正仿宋_GB2312" w:cs="方正仿宋_GB2312"/>
                <w:snapToGrid w:val="0"/>
                <w:color w:val="auto"/>
                <w:spacing w:val="5"/>
                <w:kern w:val="0"/>
                <w:sz w:val="28"/>
                <w:szCs w:val="28"/>
                <w:lang w:eastAsia="zh-CN"/>
              </w:rPr>
              <w:t>质保期</w:t>
            </w:r>
            <w:r>
              <w:rPr>
                <w:rFonts w:hint="eastAsia" w:ascii="方正仿宋_GB2312" w:hAnsi="方正仿宋_GB2312" w:eastAsia="方正仿宋_GB2312" w:cs="方正仿宋_GB2312"/>
                <w:snapToGrid w:val="0"/>
                <w:color w:val="auto"/>
                <w:spacing w:val="5"/>
                <w:kern w:val="0"/>
                <w:sz w:val="28"/>
                <w:szCs w:val="28"/>
              </w:rPr>
              <w:t>内发生故障的设备如无法在24小时内修复，则应提供备用设备以保证系统的连续稳定运行，并在5个工作日内修复故障设备或更换新设备，5个工作日内不能解决的，由中标人提供替代设备。保障系统正常运行，在无相同型号的同种设备时，则应更换同类设备中较高型号的产品。所产生的费用，均包含在本次采购报价中，采购人不再承担任何费用。</w:t>
            </w:r>
          </w:p>
          <w:p w14:paraId="172467E8">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5.设备</w:t>
            </w:r>
            <w:r>
              <w:rPr>
                <w:rFonts w:hint="eastAsia" w:ascii="方正仿宋_GB2312" w:hAnsi="方正仿宋_GB2312" w:eastAsia="方正仿宋_GB2312" w:cs="方正仿宋_GB2312"/>
                <w:snapToGrid w:val="0"/>
                <w:color w:val="auto"/>
                <w:spacing w:val="5"/>
                <w:kern w:val="0"/>
                <w:sz w:val="28"/>
                <w:szCs w:val="28"/>
                <w:lang w:eastAsia="zh-CN"/>
              </w:rPr>
              <w:t>质保期</w:t>
            </w:r>
            <w:r>
              <w:rPr>
                <w:rFonts w:hint="eastAsia" w:ascii="方正仿宋_GB2312" w:hAnsi="方正仿宋_GB2312" w:eastAsia="方正仿宋_GB2312" w:cs="方正仿宋_GB2312"/>
                <w:snapToGrid w:val="0"/>
                <w:color w:val="auto"/>
                <w:spacing w:val="5"/>
                <w:kern w:val="0"/>
                <w:sz w:val="28"/>
                <w:szCs w:val="28"/>
              </w:rPr>
              <w:t>内</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硬件的售后服务</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包括但不限于硬件维护维修、配件更换、整机更换、硬件升级、提供替代品</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lang w:val="en-US" w:eastAsia="zh-CN"/>
              </w:rPr>
              <w:t>和</w:t>
            </w:r>
            <w:r>
              <w:rPr>
                <w:rFonts w:hint="eastAsia" w:ascii="方正仿宋_GB2312" w:hAnsi="方正仿宋_GB2312" w:eastAsia="方正仿宋_GB2312" w:cs="方正仿宋_GB2312"/>
                <w:snapToGrid w:val="0"/>
                <w:color w:val="auto"/>
                <w:spacing w:val="5"/>
                <w:kern w:val="0"/>
                <w:sz w:val="28"/>
                <w:szCs w:val="28"/>
              </w:rPr>
              <w:t>应用软件的售后服务</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包括但不限于应用软件维护升级以及非结构性修改</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所产生的费用均包含在本次采购报价中，采购人不再承担任何费用。</w:t>
            </w:r>
          </w:p>
          <w:p w14:paraId="19C4282E">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6.设备</w:t>
            </w:r>
            <w:r>
              <w:rPr>
                <w:rFonts w:hint="eastAsia" w:ascii="方正仿宋_GB2312" w:hAnsi="方正仿宋_GB2312" w:eastAsia="方正仿宋_GB2312" w:cs="方正仿宋_GB2312"/>
                <w:snapToGrid w:val="0"/>
                <w:color w:val="auto"/>
                <w:spacing w:val="5"/>
                <w:kern w:val="0"/>
                <w:sz w:val="28"/>
                <w:szCs w:val="28"/>
                <w:lang w:eastAsia="zh-CN"/>
              </w:rPr>
              <w:t>质保期</w:t>
            </w:r>
            <w:r>
              <w:rPr>
                <w:rFonts w:hint="eastAsia" w:ascii="方正仿宋_GB2312" w:hAnsi="方正仿宋_GB2312" w:eastAsia="方正仿宋_GB2312" w:cs="方正仿宋_GB2312"/>
                <w:snapToGrid w:val="0"/>
                <w:color w:val="auto"/>
                <w:spacing w:val="5"/>
                <w:kern w:val="0"/>
                <w:sz w:val="28"/>
                <w:szCs w:val="28"/>
              </w:rPr>
              <w:t>内，中标人负责对设备进行定期维护保养，每年至少四次（每季度一次），包括设备的安全检查、质量检查，运行状态检查，提供设备维护保养情况书面报告。并承担所发生的一切费用（包括更换零部件费、人工费和差旅费等）。</w:t>
            </w:r>
          </w:p>
          <w:p w14:paraId="748E5602">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lang w:eastAsia="zh-CN"/>
              </w:rPr>
            </w:pPr>
            <w:r>
              <w:rPr>
                <w:rFonts w:hint="eastAsia" w:ascii="方正仿宋_GB2312" w:hAnsi="方正仿宋_GB2312" w:eastAsia="方正仿宋_GB2312" w:cs="方正仿宋_GB2312"/>
                <w:snapToGrid w:val="0"/>
                <w:color w:val="auto"/>
                <w:spacing w:val="5"/>
                <w:kern w:val="0"/>
                <w:sz w:val="28"/>
                <w:szCs w:val="28"/>
                <w:lang w:val="en-US" w:eastAsia="zh-CN"/>
              </w:rPr>
              <w:t>7、</w:t>
            </w:r>
            <w:r>
              <w:rPr>
                <w:rFonts w:hint="eastAsia" w:ascii="方正仿宋_GB2312" w:hAnsi="方正仿宋_GB2312" w:eastAsia="方正仿宋_GB2312" w:cs="方正仿宋_GB2312"/>
                <w:snapToGrid w:val="0"/>
                <w:color w:val="auto"/>
                <w:spacing w:val="5"/>
                <w:kern w:val="0"/>
                <w:sz w:val="28"/>
                <w:szCs w:val="28"/>
                <w:lang w:eastAsia="zh-CN"/>
              </w:rPr>
              <w:t>维保场地与备品备件要求</w:t>
            </w:r>
          </w:p>
          <w:p w14:paraId="5B7A8DDD">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lang w:eastAsia="zh-CN"/>
              </w:rPr>
            </w:pPr>
            <w:r>
              <w:rPr>
                <w:rFonts w:hint="eastAsia" w:ascii="方正仿宋_GB2312" w:hAnsi="方正仿宋_GB2312" w:eastAsia="方正仿宋_GB2312" w:cs="方正仿宋_GB2312"/>
                <w:snapToGrid w:val="0"/>
                <w:color w:val="auto"/>
                <w:spacing w:val="5"/>
                <w:kern w:val="0"/>
                <w:sz w:val="28"/>
                <w:szCs w:val="28"/>
                <w:lang w:eastAsia="zh-CN"/>
              </w:rPr>
              <w:t>服务网点： 供应商应明确售后服务网点地址，该网点应具备备件仓库、维修测试设备及办公场地。服务网点距离采购人所在地应与所在地现有交通条件下承诺到达现场时间一致。</w:t>
            </w:r>
          </w:p>
          <w:p w14:paraId="41A5613E">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lang w:eastAsia="zh-CN"/>
              </w:rPr>
            </w:pPr>
            <w:r>
              <w:rPr>
                <w:rFonts w:hint="eastAsia" w:ascii="方正仿宋_GB2312" w:hAnsi="方正仿宋_GB2312" w:eastAsia="方正仿宋_GB2312" w:cs="方正仿宋_GB2312"/>
                <w:snapToGrid w:val="0"/>
                <w:color w:val="auto"/>
                <w:spacing w:val="5"/>
                <w:kern w:val="0"/>
                <w:sz w:val="28"/>
                <w:szCs w:val="28"/>
                <w:lang w:eastAsia="zh-CN"/>
              </w:rPr>
              <w:t>备品备件储备： 供应商须提供《质保期内备品备件储备清单》。承诺对关键部件、易损件建立合理的库存量，确保维修时“有件可用”，严禁因缺件导致维修延期。</w:t>
            </w:r>
          </w:p>
          <w:p w14:paraId="63F236DC">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lang w:eastAsia="zh-CN"/>
              </w:rPr>
            </w:pPr>
            <w:r>
              <w:rPr>
                <w:rFonts w:hint="eastAsia" w:ascii="方正仿宋_GB2312" w:hAnsi="方正仿宋_GB2312" w:eastAsia="方正仿宋_GB2312" w:cs="方正仿宋_GB2312"/>
                <w:snapToGrid w:val="0"/>
                <w:color w:val="auto"/>
                <w:spacing w:val="5"/>
                <w:kern w:val="0"/>
                <w:sz w:val="28"/>
                <w:szCs w:val="28"/>
                <w:lang w:eastAsia="zh-CN"/>
              </w:rPr>
              <w:t>备件来源： 所有更换的备品备件必须为原厂正品或同等质量认证产品，不得使用二手、翻新或非授权替代品。</w:t>
            </w:r>
          </w:p>
          <w:p w14:paraId="6D2F6445">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lang w:eastAsia="zh-CN"/>
              </w:rPr>
            </w:pPr>
            <w:r>
              <w:rPr>
                <w:rFonts w:hint="eastAsia" w:ascii="方正仿宋_GB2312" w:hAnsi="方正仿宋_GB2312" w:eastAsia="方正仿宋_GB2312" w:cs="方正仿宋_GB2312"/>
                <w:snapToGrid w:val="0"/>
                <w:color w:val="auto"/>
                <w:spacing w:val="5"/>
                <w:kern w:val="0"/>
                <w:sz w:val="28"/>
                <w:szCs w:val="28"/>
                <w:lang w:val="en-US" w:eastAsia="zh-CN"/>
              </w:rPr>
              <w:t>8、</w:t>
            </w:r>
            <w:r>
              <w:rPr>
                <w:rFonts w:hint="eastAsia" w:ascii="方正仿宋_GB2312" w:hAnsi="方正仿宋_GB2312" w:eastAsia="方正仿宋_GB2312" w:cs="方正仿宋_GB2312"/>
                <w:snapToGrid w:val="0"/>
                <w:color w:val="auto"/>
                <w:spacing w:val="5"/>
                <w:kern w:val="0"/>
                <w:sz w:val="28"/>
                <w:szCs w:val="28"/>
                <w:lang w:eastAsia="zh-CN"/>
              </w:rPr>
              <w:t>超出维保期限后的服务与零配件供应要求</w:t>
            </w:r>
          </w:p>
          <w:p w14:paraId="77C7F1B3">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lang w:eastAsia="zh-CN"/>
              </w:rPr>
            </w:pP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lang w:val="en-US" w:eastAsia="zh-CN"/>
              </w:rPr>
              <w:t>1</w:t>
            </w:r>
            <w:r>
              <w:rPr>
                <w:rFonts w:hint="eastAsia" w:ascii="方正仿宋_GB2312" w:hAnsi="方正仿宋_GB2312" w:eastAsia="方正仿宋_GB2312" w:cs="方正仿宋_GB2312"/>
                <w:snapToGrid w:val="0"/>
                <w:color w:val="auto"/>
                <w:spacing w:val="5"/>
                <w:kern w:val="0"/>
                <w:sz w:val="28"/>
                <w:szCs w:val="28"/>
                <w:lang w:eastAsia="zh-CN"/>
              </w:rPr>
              <w:t>） 投标人须在投标文件中提供《质保期满后主要常用零配件清单及报价表》，格式自拟。清单范围： 应包含设备主要部件、易损件、专用耗材（如有）等，明确配件名称、规格型号、供货单价、供货周期</w:t>
            </w:r>
            <w:r>
              <w:rPr>
                <w:rFonts w:hint="eastAsia" w:ascii="方正仿宋_GB2312" w:hAnsi="方正仿宋_GB2312" w:eastAsia="方正仿宋_GB2312" w:cs="方正仿宋_GB2312"/>
                <w:snapToGrid w:val="0"/>
                <w:color w:val="auto"/>
                <w:spacing w:val="5"/>
                <w:kern w:val="0"/>
                <w:sz w:val="28"/>
                <w:szCs w:val="28"/>
                <w:lang w:eastAsia="zh-CN"/>
              </w:rPr>
              <w:tab/>
            </w:r>
            <w:r>
              <w:rPr>
                <w:rFonts w:hint="eastAsia" w:ascii="方正仿宋_GB2312" w:hAnsi="方正仿宋_GB2312" w:eastAsia="方正仿宋_GB2312" w:cs="方正仿宋_GB2312"/>
                <w:snapToGrid w:val="0"/>
                <w:color w:val="auto"/>
                <w:spacing w:val="5"/>
                <w:kern w:val="0"/>
                <w:sz w:val="28"/>
                <w:szCs w:val="28"/>
                <w:lang w:eastAsia="zh-CN"/>
              </w:rPr>
              <w:t>使用期或有效期等。</w:t>
            </w:r>
          </w:p>
          <w:p w14:paraId="78C7C0DE">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lang w:eastAsia="zh-CN"/>
              </w:rPr>
            </w:pPr>
            <w:r>
              <w:rPr>
                <w:rFonts w:hint="eastAsia" w:ascii="方正仿宋_GB2312" w:hAnsi="方正仿宋_GB2312" w:eastAsia="方正仿宋_GB2312" w:cs="方正仿宋_GB2312"/>
                <w:snapToGrid w:val="0"/>
                <w:color w:val="auto"/>
                <w:spacing w:val="5"/>
                <w:kern w:val="0"/>
                <w:sz w:val="28"/>
                <w:szCs w:val="28"/>
                <w:lang w:val="en-US" w:eastAsia="zh-CN"/>
              </w:rPr>
              <w:t>（2）投标人</w:t>
            </w:r>
            <w:r>
              <w:rPr>
                <w:rFonts w:hint="eastAsia" w:ascii="方正仿宋_GB2312" w:hAnsi="方正仿宋_GB2312" w:eastAsia="方正仿宋_GB2312" w:cs="方正仿宋_GB2312"/>
                <w:snapToGrid w:val="0"/>
                <w:color w:val="auto"/>
                <w:spacing w:val="5"/>
                <w:kern w:val="0"/>
                <w:sz w:val="28"/>
                <w:szCs w:val="28"/>
                <w:lang w:eastAsia="zh-CN"/>
              </w:rPr>
              <w:t>承诺在设备使用期（或有效期）内，向采购人提供配件的价格不得高于该报价。如市场公开价格下降，供应商应相应下调价格。</w:t>
            </w:r>
          </w:p>
          <w:p w14:paraId="07CBB09D">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6"/>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lang w:val="en-US" w:eastAsia="zh-CN"/>
              </w:rPr>
              <w:t>3</w:t>
            </w:r>
            <w:r>
              <w:rPr>
                <w:rFonts w:hint="eastAsia" w:ascii="方正仿宋_GB2312" w:hAnsi="方正仿宋_GB2312" w:eastAsia="方正仿宋_GB2312" w:cs="方正仿宋_GB2312"/>
                <w:snapToGrid w:val="0"/>
                <w:color w:val="auto"/>
                <w:spacing w:val="5"/>
                <w:kern w:val="0"/>
                <w:sz w:val="28"/>
                <w:szCs w:val="28"/>
                <w:lang w:eastAsia="zh-CN"/>
              </w:rPr>
              <w:t>）持续服务要求供应商须承诺设备停产后，继续提供零配件供应服务的年限不少于该设备使用期（或有效期）</w:t>
            </w:r>
          </w:p>
        </w:tc>
      </w:tr>
      <w:tr w14:paraId="21709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489EC6">
            <w:pPr>
              <w:keepNext/>
              <w:keepLines w:val="0"/>
              <w:pageBreakBefore w:val="0"/>
              <w:widowControl w:val="0"/>
              <w:kinsoku/>
              <w:wordWrap w:val="0"/>
              <w:overflowPunct/>
              <w:topLinePunct/>
              <w:autoSpaceDE/>
              <w:autoSpaceDN/>
              <w:bidi w:val="0"/>
              <w:adjustRightInd w:val="0"/>
              <w:snapToGrid w:val="0"/>
              <w:spacing w:before="185" w:line="360" w:lineRule="exact"/>
              <w:ind w:left="63" w:leftChars="30" w:right="87"/>
              <w:jc w:val="center"/>
              <w:textAlignment w:val="baseline"/>
              <w:rPr>
                <w:rFonts w:hint="eastAsia" w:ascii="方正仿宋_GB2312" w:hAnsi="方正仿宋_GB2312" w:eastAsia="方正仿宋_GB2312" w:cs="方正仿宋_GB2312"/>
                <w:snapToGrid w:val="0"/>
                <w:color w:val="auto"/>
                <w:spacing w:val="5"/>
                <w:kern w:val="0"/>
                <w:sz w:val="28"/>
                <w:szCs w:val="28"/>
                <w:lang w:val="en-US" w:eastAsia="zh-CN"/>
              </w:rPr>
            </w:pPr>
            <w:r>
              <w:rPr>
                <w:rFonts w:hint="eastAsia" w:ascii="方正仿宋_GB2312" w:hAnsi="方正仿宋_GB2312" w:eastAsia="方正仿宋_GB2312" w:cs="方正仿宋_GB2312"/>
                <w:snapToGrid w:val="0"/>
                <w:color w:val="auto"/>
                <w:spacing w:val="5"/>
                <w:kern w:val="0"/>
                <w:sz w:val="28"/>
                <w:szCs w:val="28"/>
                <w:lang w:val="en-US" w:eastAsia="zh-CN"/>
              </w:rPr>
              <w:t>6</w:t>
            </w:r>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B6DD42">
            <w:pPr>
              <w:keepNext/>
              <w:keepLines w:val="0"/>
              <w:pageBreakBefore w:val="0"/>
              <w:widowControl w:val="0"/>
              <w:kinsoku/>
              <w:wordWrap w:val="0"/>
              <w:overflowPunct/>
              <w:topLinePunct/>
              <w:autoSpaceDE/>
              <w:autoSpaceDN/>
              <w:bidi w:val="0"/>
              <w:adjustRightInd w:val="0"/>
              <w:snapToGrid w:val="0"/>
              <w:spacing w:before="185" w:line="360" w:lineRule="exact"/>
              <w:ind w:left="63" w:leftChars="30" w:right="87"/>
              <w:jc w:val="center"/>
              <w:textAlignment w:val="baseline"/>
              <w:rPr>
                <w:rFonts w:hint="eastAsia" w:ascii="方正仿宋_GB2312" w:hAnsi="方正仿宋_GB2312" w:eastAsia="方正仿宋_GB2312" w:cs="方正仿宋_GB2312"/>
                <w:snapToGrid w:val="0"/>
                <w:color w:val="auto"/>
                <w:spacing w:val="5"/>
                <w:kern w:val="0"/>
                <w:sz w:val="28"/>
                <w:szCs w:val="28"/>
              </w:rPr>
            </w:pPr>
            <w:bookmarkStart w:id="7" w:name="_Toc204778407"/>
            <w:r>
              <w:rPr>
                <w:rFonts w:hint="eastAsia" w:ascii="方正仿宋_GB2312" w:hAnsi="方正仿宋_GB2312" w:eastAsia="方正仿宋_GB2312" w:cs="方正仿宋_GB2312"/>
                <w:snapToGrid w:val="0"/>
                <w:color w:val="auto"/>
                <w:spacing w:val="5"/>
                <w:kern w:val="0"/>
                <w:sz w:val="28"/>
                <w:szCs w:val="28"/>
              </w:rPr>
              <w:t>医疗器械注册证</w:t>
            </w:r>
            <w:bookmarkEnd w:id="7"/>
          </w:p>
        </w:tc>
        <w:tc>
          <w:tcPr>
            <w:tcW w:w="40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E1D0E5">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580" w:firstLineChars="200"/>
              <w:jc w:val="both"/>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以上货物供应商所投产品属医疗器械管理范畴的，投标产品属第二、三类医疗器械产品的，投标响应文件中须按《医疗器械注册与备案管理办法》（国家市场监督管理总局令第47号）提供该设备有效的医疗器械注册证复印件加盖投标人单位公章，否则投标无效。</w:t>
            </w:r>
          </w:p>
        </w:tc>
      </w:tr>
      <w:tr w14:paraId="3C5440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D3658F">
            <w:pPr>
              <w:keepNext/>
              <w:keepLines w:val="0"/>
              <w:pageBreakBefore w:val="0"/>
              <w:widowControl w:val="0"/>
              <w:kinsoku/>
              <w:wordWrap w:val="0"/>
              <w:overflowPunct/>
              <w:topLinePunct/>
              <w:autoSpaceDE/>
              <w:autoSpaceDN/>
              <w:bidi w:val="0"/>
              <w:adjustRightInd w:val="0"/>
              <w:snapToGrid w:val="0"/>
              <w:spacing w:before="178" w:line="360" w:lineRule="exact"/>
              <w:ind w:left="63" w:leftChars="30"/>
              <w:jc w:val="center"/>
              <w:textAlignment w:val="baseline"/>
              <w:rPr>
                <w:rFonts w:hint="eastAsia" w:ascii="方正仿宋_GB2312" w:hAnsi="方正仿宋_GB2312" w:eastAsia="方正仿宋_GB2312" w:cs="方正仿宋_GB2312"/>
                <w:snapToGrid w:val="0"/>
                <w:color w:val="auto"/>
                <w:spacing w:val="6"/>
                <w:sz w:val="28"/>
                <w:szCs w:val="28"/>
                <w:lang w:eastAsia="zh-CN"/>
              </w:rPr>
            </w:pPr>
            <w:r>
              <w:rPr>
                <w:rFonts w:hint="eastAsia" w:ascii="方正仿宋_GB2312" w:hAnsi="方正仿宋_GB2312" w:eastAsia="方正仿宋_GB2312" w:cs="方正仿宋_GB2312"/>
                <w:snapToGrid w:val="0"/>
                <w:color w:val="auto"/>
                <w:spacing w:val="6"/>
                <w:sz w:val="28"/>
                <w:szCs w:val="28"/>
                <w:lang w:val="en-US" w:eastAsia="zh-CN"/>
              </w:rPr>
              <w:t>7</w:t>
            </w:r>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F15B1D">
            <w:pPr>
              <w:keepNext/>
              <w:keepLines w:val="0"/>
              <w:pageBreakBefore w:val="0"/>
              <w:widowControl w:val="0"/>
              <w:kinsoku/>
              <w:wordWrap w:val="0"/>
              <w:overflowPunct/>
              <w:topLinePunct/>
              <w:autoSpaceDE/>
              <w:autoSpaceDN/>
              <w:bidi w:val="0"/>
              <w:adjustRightInd w:val="0"/>
              <w:snapToGrid w:val="0"/>
              <w:spacing w:before="185" w:line="360" w:lineRule="exact"/>
              <w:ind w:left="63" w:leftChars="30" w:right="87"/>
              <w:jc w:val="center"/>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付款方式</w:t>
            </w:r>
          </w:p>
        </w:tc>
        <w:tc>
          <w:tcPr>
            <w:tcW w:w="4042" w:type="pct"/>
            <w:tcBorders>
              <w:top w:val="single" w:color="000000" w:sz="4" w:space="0"/>
              <w:left w:val="single" w:color="000000" w:sz="4" w:space="0"/>
              <w:bottom w:val="single" w:color="000000" w:sz="4" w:space="0"/>
              <w:right w:val="single" w:color="000000" w:sz="4" w:space="0"/>
            </w:tcBorders>
            <w:shd w:val="clear" w:color="auto" w:fill="FFFFFF"/>
          </w:tcPr>
          <w:p w14:paraId="1546AFFC">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lang w:val="en-US" w:eastAsia="zh-CN"/>
              </w:rPr>
            </w:pPr>
            <w:r>
              <w:rPr>
                <w:rFonts w:hint="eastAsia" w:ascii="方正仿宋_GB2312" w:hAnsi="方正仿宋_GB2312" w:eastAsia="方正仿宋_GB2312" w:cs="方正仿宋_GB2312"/>
                <w:snapToGrid w:val="0"/>
                <w:color w:val="auto"/>
                <w:spacing w:val="5"/>
                <w:kern w:val="0"/>
                <w:sz w:val="28"/>
                <w:szCs w:val="28"/>
                <w:lang w:val="en-US" w:eastAsia="zh-CN"/>
              </w:rPr>
              <w:t>1.全部货物送达指定地点、安装调试并验收合格后，双方签署验收合格证，中标人开具全额增值税发票给采购人后6个月内支付合同金额的95%。中标人履行相关配套服务年限达到响应文件承诺的服务年限，且经采购人验收符合合同约定后6个月内，采购人支付合同金额的5%。</w:t>
            </w:r>
            <w:r>
              <w:rPr>
                <w:rFonts w:hint="eastAsia" w:ascii="方正仿宋_GB2312" w:hAnsi="方正仿宋_GB2312" w:eastAsia="方正仿宋_GB2312" w:cs="方正仿宋_GB2312"/>
                <w:snapToGrid w:val="0"/>
                <w:color w:val="auto"/>
                <w:spacing w:val="5"/>
                <w:kern w:val="0"/>
                <w:sz w:val="28"/>
                <w:szCs w:val="28"/>
                <w:lang w:val="en-US" w:eastAsia="zh-CN"/>
              </w:rPr>
              <w:br w:type="textWrapping"/>
            </w:r>
            <w:r>
              <w:rPr>
                <w:rFonts w:hint="eastAsia" w:ascii="方正仿宋_GB2312" w:hAnsi="方正仿宋_GB2312" w:eastAsia="方正仿宋_GB2312" w:cs="方正仿宋_GB2312"/>
                <w:snapToGrid w:val="0"/>
                <w:color w:val="auto"/>
                <w:spacing w:val="5"/>
                <w:kern w:val="0"/>
                <w:sz w:val="28"/>
                <w:szCs w:val="28"/>
                <w:lang w:val="en-US" w:eastAsia="zh-CN"/>
              </w:rPr>
              <w:t>2.付款前，中标人须提供符合要求的发票给采购人，否则采购人有权不予支付。中标人应当确保发票真实无误且合法有效，如发现存在虚假发票或违规发票的，中标人须赔偿采购人发票票面金额一倍的违约金，且采购人有权终止合同，因终止合同而产生的一切损失均由中标人承担。</w:t>
            </w:r>
          </w:p>
          <w:p w14:paraId="445FF4C4">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p>
        </w:tc>
      </w:tr>
      <w:tr w14:paraId="26DEF0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971450">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default" w:ascii="方正仿宋_GB2312" w:hAnsi="方正仿宋_GB2312" w:eastAsia="方正仿宋_GB2312" w:cs="方正仿宋_GB2312"/>
                <w:snapToGrid w:val="0"/>
                <w:color w:val="auto"/>
                <w:spacing w:val="6"/>
                <w:sz w:val="28"/>
                <w:szCs w:val="28"/>
                <w:lang w:val="en-US" w:eastAsia="zh-CN"/>
              </w:rPr>
            </w:pPr>
            <w:r>
              <w:rPr>
                <w:rFonts w:hint="eastAsia" w:ascii="方正仿宋_GB2312" w:hAnsi="方正仿宋_GB2312" w:eastAsia="方正仿宋_GB2312" w:cs="方正仿宋_GB2312"/>
                <w:snapToGrid w:val="0"/>
                <w:color w:val="auto"/>
                <w:spacing w:val="6"/>
                <w:sz w:val="28"/>
                <w:szCs w:val="28"/>
                <w:lang w:val="en-US" w:eastAsia="zh-CN"/>
              </w:rPr>
              <w:t>8</w:t>
            </w:r>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C83BD5">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bookmarkStart w:id="8" w:name="_Toc204778411"/>
            <w:r>
              <w:rPr>
                <w:rFonts w:hint="eastAsia" w:ascii="方正仿宋_GB2312" w:hAnsi="方正仿宋_GB2312" w:eastAsia="方正仿宋_GB2312" w:cs="方正仿宋_GB2312"/>
                <w:snapToGrid w:val="0"/>
                <w:color w:val="auto"/>
                <w:spacing w:val="6"/>
                <w:sz w:val="28"/>
                <w:szCs w:val="28"/>
              </w:rPr>
              <w:t>验收标准、验收方法及方案</w:t>
            </w:r>
            <w:bookmarkEnd w:id="8"/>
          </w:p>
        </w:tc>
        <w:tc>
          <w:tcPr>
            <w:tcW w:w="4042" w:type="pct"/>
            <w:tcBorders>
              <w:top w:val="single" w:color="000000" w:sz="4" w:space="0"/>
              <w:left w:val="single" w:color="000000" w:sz="4" w:space="0"/>
              <w:bottom w:val="single" w:color="000000" w:sz="4" w:space="0"/>
              <w:right w:val="single" w:color="000000" w:sz="4" w:space="0"/>
            </w:tcBorders>
            <w:shd w:val="clear" w:color="auto" w:fill="FFFFFF"/>
          </w:tcPr>
          <w:p w14:paraId="4D3D2A6A">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1.中标人提供不符合采购文件、投标文件承诺的或本合同规定的货物，采购人有权拒绝接受。</w:t>
            </w:r>
          </w:p>
          <w:p w14:paraId="19160971">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2.中标人应将所提供货物的装箱清单、用户手册、原厂保修卡、随机资料、工具和备品、备件、验收单等交付给采购人，如有缺失应在采购人要求的期限内及时补齐，否则视为逾期交货。</w:t>
            </w:r>
          </w:p>
          <w:p w14:paraId="7964FA82">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3.验收过程中所产生的一切费用均由中标人承担，包括邀请第三方检测机构出具检测报告的费用、邀请第三方验收代理机构组织验收的费用以及因检测或验收不合格导致开展再次检测或验收所产生的费用等。</w:t>
            </w:r>
          </w:p>
          <w:p w14:paraId="2E9B5D5C">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4.中标人所提供的设备必须是全新、完整、未使用过的产品，否则视为不合格产品，不予签收，由此产生的所有费用由</w:t>
            </w:r>
            <w:r>
              <w:rPr>
                <w:rFonts w:hint="eastAsia" w:ascii="方正仿宋_GB2312" w:hAnsi="方正仿宋_GB2312" w:eastAsia="方正仿宋_GB2312" w:cs="方正仿宋_GB2312"/>
                <w:snapToGrid w:val="0"/>
                <w:color w:val="auto"/>
                <w:spacing w:val="5"/>
                <w:kern w:val="0"/>
                <w:sz w:val="28"/>
                <w:szCs w:val="28"/>
                <w:lang w:val="en-US" w:eastAsia="zh-CN"/>
              </w:rPr>
              <w:t>中</w:t>
            </w:r>
            <w:r>
              <w:rPr>
                <w:rFonts w:hint="eastAsia" w:ascii="方正仿宋_GB2312" w:hAnsi="方正仿宋_GB2312" w:eastAsia="方正仿宋_GB2312" w:cs="方正仿宋_GB2312"/>
                <w:snapToGrid w:val="0"/>
                <w:color w:val="auto"/>
                <w:spacing w:val="5"/>
                <w:kern w:val="0"/>
                <w:sz w:val="28"/>
                <w:szCs w:val="28"/>
              </w:rPr>
              <w:t>标人承担，其产品须符合国家、行业有关规定。产品到达现场后，中标人应在采购人在场情况下当面开箱，共同清点、检查外观，作出开箱记录，双方签字确认。</w:t>
            </w:r>
            <w:r>
              <w:rPr>
                <w:rFonts w:hint="eastAsia" w:ascii="方正仿宋_GB2312" w:hAnsi="方正仿宋_GB2312" w:eastAsia="方正仿宋_GB2312" w:cs="方正仿宋_GB2312"/>
                <w:b w:val="0"/>
                <w:bCs w:val="0"/>
                <w:color w:val="auto"/>
                <w:spacing w:val="5"/>
                <w:sz w:val="28"/>
                <w:szCs w:val="28"/>
                <w:lang w:val="en-US" w:eastAsia="zh-CN"/>
              </w:rPr>
              <w:t>需提供产品彩页，提供产品发货地（提供物流信息）。</w:t>
            </w:r>
            <w:r>
              <w:rPr>
                <w:rFonts w:hint="eastAsia" w:ascii="方正仿宋_GB2312" w:hAnsi="方正仿宋_GB2312" w:eastAsia="方正仿宋_GB2312" w:cs="方正仿宋_GB2312"/>
                <w:snapToGrid w:val="0"/>
                <w:color w:val="auto"/>
                <w:spacing w:val="5"/>
                <w:kern w:val="0"/>
                <w:sz w:val="28"/>
                <w:szCs w:val="28"/>
              </w:rPr>
              <w:t>中标人应保证货物到达采购人所在地完好无损，如有缺漏、损坏，由中标人负责调换、补齐或赔偿。</w:t>
            </w:r>
          </w:p>
          <w:p w14:paraId="5D3568A1">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5.产品或服务在安装调试并试运行符合要求后，由验收小组按照采购合同规定的技术、服务、功能、安全标准组织对中标人履约情况进行验收。采购项目的验收，必须严格按照合同与补充合同的约定进行，不得增加合同与补充合同内容规定以外的新的验收内容或标准。其他未尽事宜，按照《关于印发广西壮族自治区政府采购项目履约验收管理办法的通知》（桂财采〔2015〕22号）的相关要求执行。</w:t>
            </w:r>
          </w:p>
          <w:p w14:paraId="03E771E6">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6.中标人提供的货物或服务未达到招标文件规定的要求，且对采购人造成损失的，由中标人承担一切责任，并赔偿所造成的损失。</w:t>
            </w:r>
          </w:p>
          <w:p w14:paraId="6D0A8E13">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7.采购人需要制造商对中标人交付的产品或服务（包括质量、参数等）进行确认的，制造商应予以配合并出具书面意见，相关配合事项由中标人与制造商协调。</w:t>
            </w:r>
          </w:p>
          <w:p w14:paraId="5B815F8B">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8.中标人在验收时须附上设备有效的医疗器械注册证及完整内容的医疗器械注册证附件（注册产品标准/产品技术要求）复印件。（如涉及2类、3类医疗器械时必须提供，1类医疗器械如有请提供，不涉及不提供）。</w:t>
            </w:r>
          </w:p>
          <w:p w14:paraId="31F5690F">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6"/>
                <w:kern w:val="0"/>
                <w:sz w:val="28"/>
                <w:szCs w:val="28"/>
              </w:rPr>
            </w:pPr>
            <w:r>
              <w:rPr>
                <w:rFonts w:hint="eastAsia" w:ascii="方正仿宋_GB2312" w:hAnsi="方正仿宋_GB2312" w:eastAsia="方正仿宋_GB2312" w:cs="方正仿宋_GB2312"/>
                <w:snapToGrid w:val="0"/>
                <w:color w:val="auto"/>
                <w:spacing w:val="5"/>
                <w:kern w:val="0"/>
                <w:sz w:val="28"/>
                <w:szCs w:val="28"/>
              </w:rPr>
              <w:t>9.除采购人需要的产品包装材料外，产品验收后所产生的废弃物（如泡沫、塑料膜、包装袋、安装调试所产生的废弃物等）由中标人处理。</w:t>
            </w:r>
          </w:p>
        </w:tc>
      </w:tr>
      <w:tr w14:paraId="2190D5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vAlign w:val="center"/>
          </w:tcPr>
          <w:p w14:paraId="2074142A">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default" w:ascii="方正仿宋_GB2312" w:hAnsi="方正仿宋_GB2312" w:eastAsia="方正仿宋_GB2312" w:cs="方正仿宋_GB2312"/>
                <w:snapToGrid w:val="0"/>
                <w:color w:val="auto"/>
                <w:kern w:val="0"/>
                <w:sz w:val="28"/>
                <w:szCs w:val="28"/>
                <w:lang w:val="en-US" w:eastAsia="zh-CN"/>
              </w:rPr>
            </w:pPr>
            <w:r>
              <w:rPr>
                <w:rFonts w:hint="eastAsia" w:ascii="方正仿宋_GB2312" w:hAnsi="方正仿宋_GB2312" w:eastAsia="方正仿宋_GB2312" w:cs="方正仿宋_GB2312"/>
                <w:snapToGrid w:val="0"/>
                <w:color w:val="auto"/>
                <w:kern w:val="0"/>
                <w:sz w:val="28"/>
                <w:szCs w:val="28"/>
                <w:lang w:val="en-US" w:eastAsia="zh-CN"/>
              </w:rPr>
              <w:t>9</w:t>
            </w:r>
          </w:p>
        </w:tc>
        <w:tc>
          <w:tcPr>
            <w:tcW w:w="569" w:type="pct"/>
            <w:vAlign w:val="center"/>
          </w:tcPr>
          <w:p w14:paraId="31F92D30">
            <w:pPr>
              <w:keepNext/>
              <w:keepLines w:val="0"/>
              <w:pageBreakBefore w:val="0"/>
              <w:widowControl w:val="0"/>
              <w:kinsoku/>
              <w:wordWrap w:val="0"/>
              <w:overflowPunct/>
              <w:topLinePunct/>
              <w:autoSpaceDE/>
              <w:autoSpaceDN/>
              <w:bidi w:val="0"/>
              <w:adjustRightInd w:val="0"/>
              <w:snapToGrid w:val="0"/>
              <w:spacing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rPr>
            </w:pPr>
          </w:p>
          <w:p w14:paraId="705D9F16">
            <w:pPr>
              <w:keepNext/>
              <w:keepLines w:val="0"/>
              <w:pageBreakBefore w:val="0"/>
              <w:widowControl w:val="0"/>
              <w:kinsoku/>
              <w:wordWrap w:val="0"/>
              <w:overflowPunct/>
              <w:topLinePunct/>
              <w:autoSpaceDE/>
              <w:autoSpaceDN/>
              <w:bidi w:val="0"/>
              <w:adjustRightInd w:val="0"/>
              <w:snapToGrid w:val="0"/>
              <w:spacing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rPr>
            </w:pPr>
            <w:r>
              <w:rPr>
                <w:rFonts w:hint="eastAsia" w:ascii="方正仿宋_GB2312" w:hAnsi="方正仿宋_GB2312" w:eastAsia="方正仿宋_GB2312" w:cs="方正仿宋_GB2312"/>
                <w:snapToGrid w:val="0"/>
                <w:color w:val="auto"/>
                <w:kern w:val="0"/>
                <w:sz w:val="28"/>
                <w:szCs w:val="28"/>
              </w:rPr>
              <w:t>违约</w:t>
            </w:r>
          </w:p>
          <w:p w14:paraId="05B4FB89">
            <w:pPr>
              <w:keepNext/>
              <w:keepLines w:val="0"/>
              <w:pageBreakBefore w:val="0"/>
              <w:widowControl w:val="0"/>
              <w:kinsoku/>
              <w:wordWrap w:val="0"/>
              <w:overflowPunct/>
              <w:topLinePunct/>
              <w:autoSpaceDE/>
              <w:autoSpaceDN/>
              <w:bidi w:val="0"/>
              <w:adjustRightInd w:val="0"/>
              <w:snapToGrid w:val="0"/>
              <w:spacing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rPr>
            </w:pPr>
            <w:r>
              <w:rPr>
                <w:rFonts w:hint="eastAsia" w:ascii="方正仿宋_GB2312" w:hAnsi="方正仿宋_GB2312" w:eastAsia="方正仿宋_GB2312" w:cs="方正仿宋_GB2312"/>
                <w:snapToGrid w:val="0"/>
                <w:color w:val="auto"/>
                <w:kern w:val="0"/>
                <w:sz w:val="28"/>
                <w:szCs w:val="28"/>
              </w:rPr>
              <w:t>责任</w:t>
            </w:r>
          </w:p>
          <w:p w14:paraId="513AB5A0">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lang w:eastAsia="en-US"/>
              </w:rPr>
            </w:pPr>
          </w:p>
        </w:tc>
        <w:tc>
          <w:tcPr>
            <w:tcW w:w="4042" w:type="pct"/>
          </w:tcPr>
          <w:p w14:paraId="41055AB4">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kern w:val="0"/>
                <w:sz w:val="28"/>
                <w:szCs w:val="28"/>
              </w:rPr>
            </w:pPr>
            <w:r>
              <w:rPr>
                <w:rFonts w:hint="eastAsia" w:ascii="方正仿宋_GB2312" w:hAnsi="方正仿宋_GB2312" w:eastAsia="方正仿宋_GB2312" w:cs="方正仿宋_GB2312"/>
                <w:snapToGrid w:val="0"/>
                <w:color w:val="auto"/>
                <w:spacing w:val="5"/>
                <w:kern w:val="0"/>
                <w:sz w:val="28"/>
                <w:szCs w:val="28"/>
              </w:rPr>
              <w:t>1.中标人所提供的货物规格、技术标准、材料等质量不合格</w:t>
            </w:r>
            <w:r>
              <w:rPr>
                <w:rFonts w:hint="eastAsia" w:ascii="方正仿宋_GB2312" w:hAnsi="方正仿宋_GB2312" w:eastAsia="方正仿宋_GB2312" w:cs="方正仿宋_GB2312"/>
                <w:snapToGrid w:val="0"/>
                <w:color w:val="auto"/>
                <w:kern w:val="0"/>
                <w:sz w:val="28"/>
                <w:szCs w:val="28"/>
              </w:rPr>
              <w:t>或不符合相关法律法规的，应按要求在5日内更换完毕，更</w:t>
            </w:r>
            <w:r>
              <w:rPr>
                <w:rFonts w:hint="eastAsia" w:ascii="方正仿宋_GB2312" w:hAnsi="方正仿宋_GB2312" w:eastAsia="方正仿宋_GB2312" w:cs="方正仿宋_GB2312"/>
                <w:snapToGrid w:val="0"/>
                <w:color w:val="auto"/>
                <w:spacing w:val="-1"/>
                <w:kern w:val="0"/>
                <w:sz w:val="28"/>
                <w:szCs w:val="28"/>
              </w:rPr>
              <w:t>换不</w:t>
            </w:r>
            <w:r>
              <w:rPr>
                <w:rFonts w:hint="eastAsia" w:ascii="方正仿宋_GB2312" w:hAnsi="方正仿宋_GB2312" w:eastAsia="方正仿宋_GB2312" w:cs="方正仿宋_GB2312"/>
                <w:snapToGrid w:val="0"/>
                <w:color w:val="auto"/>
                <w:spacing w:val="5"/>
                <w:kern w:val="0"/>
                <w:sz w:val="28"/>
                <w:szCs w:val="28"/>
              </w:rPr>
              <w:t>及时的按逾期交货处罚，并承担由此造成的损失；若货物投入使用后，采购人在使用过程中发现货物存在交货当下未发现的其他技术标准、材料等质量不合格或不符合相关法律法规问题的（包括中标人应提供而未提供的相关法律法规要求必须具备的资质材</w:t>
            </w:r>
            <w:r>
              <w:rPr>
                <w:rFonts w:hint="eastAsia" w:ascii="方正仿宋_GB2312" w:hAnsi="方正仿宋_GB2312" w:eastAsia="方正仿宋_GB2312" w:cs="方正仿宋_GB2312"/>
                <w:snapToGrid w:val="0"/>
                <w:color w:val="auto"/>
                <w:spacing w:val="6"/>
                <w:kern w:val="0"/>
                <w:sz w:val="28"/>
                <w:szCs w:val="28"/>
              </w:rPr>
              <w:t>料或资质材料到期未及时更新提供的</w:t>
            </w:r>
            <w:r>
              <w:rPr>
                <w:rFonts w:hint="eastAsia" w:ascii="方正仿宋_GB2312" w:hAnsi="方正仿宋_GB2312" w:eastAsia="方正仿宋_GB2312" w:cs="方正仿宋_GB2312"/>
                <w:snapToGrid w:val="0"/>
                <w:color w:val="auto"/>
                <w:spacing w:val="2"/>
                <w:kern w:val="0"/>
                <w:sz w:val="28"/>
                <w:szCs w:val="28"/>
              </w:rPr>
              <w:t>），</w:t>
            </w:r>
            <w:r>
              <w:rPr>
                <w:rFonts w:hint="eastAsia" w:ascii="方正仿宋_GB2312" w:hAnsi="方正仿宋_GB2312" w:eastAsia="方正仿宋_GB2312" w:cs="方正仿宋_GB2312"/>
                <w:snapToGrid w:val="0"/>
                <w:color w:val="auto"/>
                <w:spacing w:val="6"/>
                <w:kern w:val="0"/>
                <w:sz w:val="28"/>
                <w:szCs w:val="28"/>
              </w:rPr>
              <w:t>采购人可以要求</w:t>
            </w:r>
            <w:r>
              <w:rPr>
                <w:rFonts w:hint="eastAsia" w:ascii="方正仿宋_GB2312" w:hAnsi="方正仿宋_GB2312" w:eastAsia="方正仿宋_GB2312" w:cs="方正仿宋_GB2312"/>
                <w:snapToGrid w:val="0"/>
                <w:color w:val="auto"/>
                <w:spacing w:val="5"/>
                <w:kern w:val="0"/>
                <w:sz w:val="28"/>
                <w:szCs w:val="28"/>
              </w:rPr>
              <w:t>更换或退货，中标人须支付采购人该批货款额的30%作为赔偿金。存在质量问题的，采购人有权拒绝接收，同时有权要求中标人支付该批</w:t>
            </w:r>
            <w:r>
              <w:rPr>
                <w:rFonts w:hint="eastAsia" w:ascii="方正仿宋_GB2312" w:hAnsi="方正仿宋_GB2312" w:eastAsia="方正仿宋_GB2312" w:cs="方正仿宋_GB2312"/>
                <w:snapToGrid w:val="0"/>
                <w:color w:val="auto"/>
                <w:spacing w:val="-1"/>
                <w:kern w:val="0"/>
                <w:sz w:val="28"/>
                <w:szCs w:val="28"/>
              </w:rPr>
              <w:t>货款额的</w:t>
            </w:r>
            <w:r>
              <w:rPr>
                <w:rFonts w:hint="eastAsia" w:ascii="方正仿宋_GB2312" w:hAnsi="方正仿宋_GB2312" w:eastAsia="方正仿宋_GB2312" w:cs="方正仿宋_GB2312"/>
                <w:snapToGrid w:val="0"/>
                <w:color w:val="auto"/>
                <w:spacing w:val="-42"/>
                <w:kern w:val="0"/>
                <w:sz w:val="28"/>
                <w:szCs w:val="28"/>
              </w:rPr>
              <w:t xml:space="preserve"> </w:t>
            </w:r>
            <w:r>
              <w:rPr>
                <w:rFonts w:hint="eastAsia" w:ascii="方正仿宋_GB2312" w:hAnsi="方正仿宋_GB2312" w:eastAsia="方正仿宋_GB2312" w:cs="方正仿宋_GB2312"/>
                <w:snapToGrid w:val="0"/>
                <w:color w:val="auto"/>
                <w:spacing w:val="-1"/>
                <w:kern w:val="0"/>
                <w:sz w:val="28"/>
                <w:szCs w:val="28"/>
              </w:rPr>
              <w:t>5%违约金并赔偿采购人经济损失。</w:t>
            </w:r>
          </w:p>
          <w:p w14:paraId="11BC57F8">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2.中标人提供的货物如侵犯了第三方合法权益而引发的任何纠纷或诉讼，均由中标人负责交涉并承担全部责任。如因提供的货物侵犯了第三方合法权益而引发了纠纷或诉讼，导致无法按期交付使用的，采购人可拒绝验收，同时有权要求中标人支付该批货款额的5%违约金并赔偿采购人经济损失。</w:t>
            </w:r>
          </w:p>
          <w:p w14:paraId="1189EA74">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3.因包装、运输引起的货物损坏，按质量不合格处理。</w:t>
            </w:r>
          </w:p>
          <w:p w14:paraId="64B4215A">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4.中标人逾期交货的，每天向采购人偿付该逾期交付货物金额的3‰违约金，但违约金累计不得超过该批货款额的5%。超过10天采购人有权解除合同，中标人承担因此给采购人造成的经济损失。</w:t>
            </w:r>
          </w:p>
          <w:p w14:paraId="40DD17C4">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5.中标人未按签订的合同和投标文件中规定的服务承诺提供售后服务的，中标人应按签订的合同合计金额的5%向采购人支付违约金；承诺由生产厂家提供正规售后服务但经查证后无法得到生产厂家正规售后服务的，采购人可拒绝验收。</w:t>
            </w:r>
          </w:p>
          <w:p w14:paraId="64E80E35">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6.中标人提供的货物在</w:t>
            </w:r>
            <w:r>
              <w:rPr>
                <w:rFonts w:hint="eastAsia" w:ascii="方正仿宋_GB2312" w:hAnsi="方正仿宋_GB2312" w:eastAsia="方正仿宋_GB2312" w:cs="方正仿宋_GB2312"/>
                <w:snapToGrid w:val="0"/>
                <w:color w:val="auto"/>
                <w:spacing w:val="5"/>
                <w:kern w:val="0"/>
                <w:sz w:val="28"/>
                <w:szCs w:val="28"/>
                <w:lang w:eastAsia="zh-CN"/>
              </w:rPr>
              <w:t>质保期</w:t>
            </w:r>
            <w:r>
              <w:rPr>
                <w:rFonts w:hint="eastAsia" w:ascii="方正仿宋_GB2312" w:hAnsi="方正仿宋_GB2312" w:eastAsia="方正仿宋_GB2312" w:cs="方正仿宋_GB2312"/>
                <w:snapToGrid w:val="0"/>
                <w:color w:val="auto"/>
                <w:spacing w:val="5"/>
                <w:kern w:val="0"/>
                <w:sz w:val="28"/>
                <w:szCs w:val="28"/>
              </w:rPr>
              <w:t>内，因设计、工艺或材料的缺陷和其他质量原因造成的问题的，产生的维修或更换费用给采购人造成的经济损失</w:t>
            </w:r>
            <w:r>
              <w:rPr>
                <w:rFonts w:hint="eastAsia" w:ascii="方正仿宋_GB2312" w:hAnsi="方正仿宋_GB2312" w:eastAsia="方正仿宋_GB2312" w:cs="方正仿宋_GB2312"/>
                <w:snapToGrid w:val="0"/>
                <w:color w:val="auto"/>
                <w:spacing w:val="5"/>
                <w:kern w:val="0"/>
                <w:sz w:val="28"/>
                <w:szCs w:val="28"/>
                <w:lang w:val="en-US" w:eastAsia="zh-CN"/>
              </w:rPr>
              <w:t>的</w:t>
            </w:r>
            <w:r>
              <w:rPr>
                <w:rFonts w:hint="eastAsia" w:ascii="方正仿宋_GB2312" w:hAnsi="方正仿宋_GB2312" w:eastAsia="方正仿宋_GB2312" w:cs="方正仿宋_GB2312"/>
                <w:snapToGrid w:val="0"/>
                <w:color w:val="auto"/>
                <w:spacing w:val="5"/>
                <w:kern w:val="0"/>
                <w:sz w:val="28"/>
                <w:szCs w:val="28"/>
              </w:rPr>
              <w:t>均由中标人承担。</w:t>
            </w:r>
          </w:p>
          <w:p w14:paraId="0E58BD80">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7.如发现所提供的产品有弄虚作假的行为，采购人有权拒绝接收产品或退货，并要求中标人赔偿损失，此赔偿总额为该批货款的50%，同时采购人有权单方终止协议。</w:t>
            </w:r>
          </w:p>
          <w:p w14:paraId="4A817243">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kern w:val="0"/>
                <w:sz w:val="28"/>
                <w:szCs w:val="28"/>
              </w:rPr>
            </w:pPr>
            <w:r>
              <w:rPr>
                <w:rFonts w:hint="eastAsia" w:ascii="方正仿宋_GB2312" w:hAnsi="方正仿宋_GB2312" w:eastAsia="方正仿宋_GB2312" w:cs="方正仿宋_GB2312"/>
                <w:snapToGrid w:val="0"/>
                <w:color w:val="auto"/>
                <w:spacing w:val="5"/>
                <w:kern w:val="0"/>
                <w:sz w:val="28"/>
                <w:szCs w:val="28"/>
              </w:rPr>
              <w:t>8.将本项目转让、分包给他人的，一经发现，采购人有权单</w:t>
            </w:r>
            <w:r>
              <w:rPr>
                <w:rFonts w:hint="eastAsia" w:ascii="方正仿宋_GB2312" w:hAnsi="方正仿宋_GB2312" w:eastAsia="方正仿宋_GB2312" w:cs="方正仿宋_GB2312"/>
                <w:snapToGrid w:val="0"/>
                <w:color w:val="auto"/>
                <w:spacing w:val="-1"/>
                <w:kern w:val="0"/>
                <w:sz w:val="28"/>
                <w:szCs w:val="28"/>
              </w:rPr>
              <w:t>方终止协议，并有权要求中标人承担由此造成的一切经济损失。</w:t>
            </w:r>
          </w:p>
          <w:p w14:paraId="416A4B3E">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kern w:val="0"/>
                <w:sz w:val="28"/>
                <w:szCs w:val="28"/>
              </w:rPr>
            </w:pPr>
            <w:r>
              <w:rPr>
                <w:rFonts w:hint="eastAsia" w:ascii="方正仿宋_GB2312" w:hAnsi="方正仿宋_GB2312" w:eastAsia="方正仿宋_GB2312" w:cs="方正仿宋_GB2312"/>
                <w:snapToGrid w:val="0"/>
                <w:color w:val="auto"/>
                <w:spacing w:val="-1"/>
                <w:kern w:val="0"/>
                <w:sz w:val="28"/>
                <w:szCs w:val="28"/>
              </w:rPr>
              <w:t>9.其</w:t>
            </w:r>
            <w:r>
              <w:rPr>
                <w:rFonts w:hint="eastAsia" w:ascii="方正仿宋_GB2312" w:hAnsi="方正仿宋_GB2312" w:eastAsia="方正仿宋_GB2312" w:cs="方正仿宋_GB2312"/>
                <w:snapToGrid w:val="0"/>
                <w:color w:val="auto"/>
                <w:spacing w:val="5"/>
                <w:kern w:val="0"/>
                <w:sz w:val="28"/>
                <w:szCs w:val="28"/>
              </w:rPr>
              <w:t>他</w:t>
            </w:r>
            <w:r>
              <w:rPr>
                <w:rFonts w:hint="eastAsia" w:ascii="方正仿宋_GB2312" w:hAnsi="方正仿宋_GB2312" w:eastAsia="方正仿宋_GB2312" w:cs="方正仿宋_GB2312"/>
                <w:snapToGrid w:val="0"/>
                <w:color w:val="auto"/>
                <w:spacing w:val="-1"/>
                <w:kern w:val="0"/>
                <w:sz w:val="28"/>
                <w:szCs w:val="28"/>
              </w:rPr>
              <w:t>违约行为按违约货款额</w:t>
            </w:r>
            <w:r>
              <w:rPr>
                <w:rFonts w:hint="eastAsia" w:ascii="方正仿宋_GB2312" w:hAnsi="方正仿宋_GB2312" w:eastAsia="方正仿宋_GB2312" w:cs="方正仿宋_GB2312"/>
                <w:snapToGrid w:val="0"/>
                <w:color w:val="auto"/>
                <w:spacing w:val="-35"/>
                <w:kern w:val="0"/>
                <w:sz w:val="28"/>
                <w:szCs w:val="28"/>
              </w:rPr>
              <w:t xml:space="preserve"> </w:t>
            </w:r>
            <w:r>
              <w:rPr>
                <w:rFonts w:hint="eastAsia" w:ascii="方正仿宋_GB2312" w:hAnsi="方正仿宋_GB2312" w:eastAsia="方正仿宋_GB2312" w:cs="方正仿宋_GB2312"/>
                <w:snapToGrid w:val="0"/>
                <w:color w:val="auto"/>
                <w:spacing w:val="-1"/>
                <w:kern w:val="0"/>
                <w:sz w:val="28"/>
                <w:szCs w:val="28"/>
              </w:rPr>
              <w:t>5%收取违约金并赔偿经济损</w:t>
            </w:r>
            <w:r>
              <w:rPr>
                <w:rFonts w:hint="eastAsia" w:ascii="方正仿宋_GB2312" w:hAnsi="方正仿宋_GB2312" w:eastAsia="方正仿宋_GB2312" w:cs="方正仿宋_GB2312"/>
                <w:snapToGrid w:val="0"/>
                <w:color w:val="auto"/>
                <w:spacing w:val="-12"/>
                <w:kern w:val="0"/>
                <w:sz w:val="28"/>
                <w:szCs w:val="28"/>
              </w:rPr>
              <w:t>失。</w:t>
            </w:r>
          </w:p>
        </w:tc>
      </w:tr>
      <w:tr w14:paraId="0B1435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3" w:hRule="atLeast"/>
          <w:jc w:val="center"/>
        </w:trPr>
        <w:tc>
          <w:tcPr>
            <w:tcW w:w="388" w:type="pct"/>
            <w:vAlign w:val="center"/>
          </w:tcPr>
          <w:p w14:paraId="492FE1A4">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lang w:val="en-US" w:eastAsia="zh-CN"/>
              </w:rPr>
            </w:pPr>
            <w:r>
              <w:rPr>
                <w:rFonts w:hint="eastAsia" w:ascii="方正仿宋_GB2312" w:hAnsi="方正仿宋_GB2312" w:eastAsia="方正仿宋_GB2312" w:cs="方正仿宋_GB2312"/>
                <w:snapToGrid w:val="0"/>
                <w:color w:val="auto"/>
                <w:spacing w:val="-7"/>
                <w:kern w:val="0"/>
                <w:sz w:val="28"/>
                <w:szCs w:val="28"/>
                <w:lang w:eastAsia="en-US"/>
              </w:rPr>
              <w:t>1</w:t>
            </w:r>
            <w:r>
              <w:rPr>
                <w:rFonts w:hint="eastAsia" w:ascii="方正仿宋_GB2312" w:hAnsi="方正仿宋_GB2312" w:eastAsia="方正仿宋_GB2312" w:cs="方正仿宋_GB2312"/>
                <w:snapToGrid w:val="0"/>
                <w:color w:val="auto"/>
                <w:spacing w:val="-7"/>
                <w:kern w:val="0"/>
                <w:sz w:val="28"/>
                <w:szCs w:val="28"/>
                <w:lang w:val="en-US" w:eastAsia="zh-CN"/>
              </w:rPr>
              <w:t>0</w:t>
            </w:r>
          </w:p>
        </w:tc>
        <w:tc>
          <w:tcPr>
            <w:tcW w:w="569" w:type="pct"/>
            <w:vAlign w:val="center"/>
          </w:tcPr>
          <w:p w14:paraId="2B8F7F8F">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lang w:eastAsia="en-US"/>
              </w:rPr>
            </w:pPr>
            <w:r>
              <w:rPr>
                <w:rFonts w:hint="eastAsia" w:ascii="方正仿宋_GB2312" w:hAnsi="方正仿宋_GB2312" w:eastAsia="方正仿宋_GB2312" w:cs="方正仿宋_GB2312"/>
                <w:b w:val="0"/>
                <w:bCs w:val="0"/>
                <w:snapToGrid w:val="0"/>
                <w:color w:val="auto"/>
                <w:spacing w:val="-2"/>
                <w:kern w:val="0"/>
                <w:sz w:val="28"/>
                <w:szCs w:val="28"/>
                <w:lang w:eastAsia="en-US"/>
              </w:rPr>
              <w:t>使用期限要求</w:t>
            </w:r>
          </w:p>
        </w:tc>
        <w:tc>
          <w:tcPr>
            <w:tcW w:w="4042" w:type="pct"/>
          </w:tcPr>
          <w:p w14:paraId="75D32447">
            <w:pPr>
              <w:keepNext w:val="0"/>
              <w:keepLines w:val="0"/>
              <w:pageBreakBefore w:val="0"/>
              <w:widowControl/>
              <w:suppressLineNumbers w:val="0"/>
              <w:overflowPunct/>
              <w:bidi w:val="0"/>
              <w:adjustRightInd w:val="0"/>
              <w:snapToGrid w:val="0"/>
              <w:spacing w:line="360" w:lineRule="exact"/>
              <w:ind w:left="63" w:leftChars="30"/>
              <w:jc w:val="left"/>
              <w:textAlignment w:val="baseline"/>
              <w:rPr>
                <w:rFonts w:hint="eastAsia" w:ascii="方正仿宋_GB2312" w:hAnsi="方正仿宋_GB2312" w:eastAsia="方正仿宋_GB2312" w:cs="方正仿宋_GB2312"/>
                <w:snapToGrid w:val="0"/>
                <w:color w:val="auto"/>
                <w:spacing w:val="5"/>
                <w:kern w:val="0"/>
                <w:sz w:val="28"/>
                <w:szCs w:val="28"/>
                <w:lang w:val="en-US" w:eastAsia="zh-CN" w:bidi="ar-SA"/>
              </w:rPr>
            </w:pPr>
            <w:r>
              <w:rPr>
                <w:rFonts w:hint="eastAsia" w:ascii="方正仿宋_GB2312" w:hAnsi="方正仿宋_GB2312" w:eastAsia="方正仿宋_GB2312" w:cs="方正仿宋_GB2312"/>
                <w:snapToGrid w:val="0"/>
                <w:color w:val="auto"/>
                <w:spacing w:val="5"/>
                <w:kern w:val="0"/>
                <w:sz w:val="28"/>
                <w:szCs w:val="28"/>
                <w:lang w:val="en-US" w:eastAsia="zh-CN" w:bidi="ar-SA"/>
              </w:rPr>
              <w:t>1.设备使用期（或有效期）</w:t>
            </w:r>
            <w:r>
              <w:rPr>
                <w:rFonts w:hint="eastAsia" w:ascii="方正仿宋_GB2312" w:hAnsi="方正仿宋_GB2312" w:eastAsia="方正仿宋_GB2312" w:cs="方正仿宋_GB2312"/>
                <w:snapToGrid w:val="0"/>
                <w:color w:val="auto"/>
                <w:spacing w:val="5"/>
                <w:kern w:val="0"/>
                <w:sz w:val="28"/>
                <w:szCs w:val="28"/>
                <w:lang w:val="en-US" w:eastAsia="en-US" w:bidi="ar-SA"/>
              </w:rPr>
              <w:t>≥</w:t>
            </w:r>
            <w:r>
              <w:rPr>
                <w:rFonts w:hint="eastAsia" w:ascii="方正仿宋_GB2312" w:hAnsi="方正仿宋_GB2312" w:eastAsia="方正仿宋_GB2312" w:cs="方正仿宋_GB2312"/>
                <w:snapToGrid w:val="0"/>
                <w:color w:val="auto"/>
                <w:spacing w:val="5"/>
                <w:kern w:val="0"/>
                <w:sz w:val="28"/>
                <w:szCs w:val="28"/>
                <w:lang w:val="en-US" w:eastAsia="zh-CN" w:bidi="ar-SA"/>
              </w:rPr>
              <w:t>10 年（以注册证或技术白皮书为准）。中标人所提供货物如有“使用期限”要求的，需逐台写明该设备的“使用期限”。</w:t>
            </w:r>
          </w:p>
          <w:p w14:paraId="4FBB731E">
            <w:pPr>
              <w:keepNext w:val="0"/>
              <w:keepLines w:val="0"/>
              <w:pageBreakBefore w:val="0"/>
              <w:widowControl/>
              <w:suppressLineNumbers w:val="0"/>
              <w:overflowPunct/>
              <w:bidi w:val="0"/>
              <w:adjustRightInd w:val="0"/>
              <w:snapToGrid w:val="0"/>
              <w:spacing w:line="360" w:lineRule="exact"/>
              <w:ind w:left="63" w:leftChars="30"/>
              <w:jc w:val="left"/>
              <w:textAlignment w:val="baseline"/>
              <w:rPr>
                <w:rFonts w:hint="eastAsia" w:ascii="方正仿宋_GB2312" w:hAnsi="方正仿宋_GB2312" w:eastAsia="方正仿宋_GB2312" w:cs="方正仿宋_GB2312"/>
                <w:snapToGrid w:val="0"/>
                <w:color w:val="auto"/>
                <w:spacing w:val="5"/>
                <w:kern w:val="0"/>
                <w:sz w:val="28"/>
                <w:szCs w:val="28"/>
                <w:lang w:val="en-US" w:eastAsia="zh-CN" w:bidi="ar-SA"/>
              </w:rPr>
            </w:pPr>
            <w:r>
              <w:rPr>
                <w:rFonts w:hint="eastAsia" w:ascii="方正仿宋_GB2312" w:hAnsi="方正仿宋_GB2312" w:eastAsia="方正仿宋_GB2312" w:cs="方正仿宋_GB2312"/>
                <w:snapToGrid w:val="0"/>
                <w:color w:val="auto"/>
                <w:spacing w:val="5"/>
                <w:kern w:val="0"/>
                <w:sz w:val="28"/>
                <w:szCs w:val="28"/>
                <w:lang w:val="en-US" w:eastAsia="zh-CN" w:bidi="ar-SA"/>
              </w:rPr>
              <w:t>2.中标人交货时，所提供货物如有“使用期限”要求的，应符合以下要求：</w:t>
            </w:r>
          </w:p>
          <w:p w14:paraId="724D99E4">
            <w:pPr>
              <w:keepNext w:val="0"/>
              <w:keepLines w:val="0"/>
              <w:pageBreakBefore w:val="0"/>
              <w:widowControl/>
              <w:suppressLineNumbers w:val="0"/>
              <w:overflowPunct/>
              <w:bidi w:val="0"/>
              <w:adjustRightInd w:val="0"/>
              <w:snapToGrid w:val="0"/>
              <w:spacing w:line="360" w:lineRule="exact"/>
              <w:ind w:left="63" w:leftChars="30" w:firstLine="580" w:firstLineChars="200"/>
              <w:jc w:val="left"/>
              <w:textAlignment w:val="baseline"/>
              <w:rPr>
                <w:rFonts w:hint="eastAsia" w:ascii="方正仿宋_GB2312" w:hAnsi="方正仿宋_GB2312" w:eastAsia="方正仿宋_GB2312" w:cs="方正仿宋_GB2312"/>
                <w:snapToGrid w:val="0"/>
                <w:color w:val="auto"/>
                <w:spacing w:val="5"/>
                <w:kern w:val="0"/>
                <w:sz w:val="28"/>
                <w:szCs w:val="28"/>
                <w:lang w:val="en-US" w:eastAsia="zh-CN" w:bidi="ar-SA"/>
              </w:rPr>
            </w:pPr>
            <w:r>
              <w:rPr>
                <w:rFonts w:hint="eastAsia" w:ascii="方正仿宋_GB2312" w:hAnsi="方正仿宋_GB2312" w:eastAsia="方正仿宋_GB2312" w:cs="方正仿宋_GB2312"/>
                <w:snapToGrid w:val="0"/>
                <w:color w:val="auto"/>
                <w:spacing w:val="5"/>
                <w:kern w:val="0"/>
                <w:sz w:val="28"/>
                <w:szCs w:val="28"/>
                <w:lang w:val="en-US" w:eastAsia="zh-CN" w:bidi="ar-SA"/>
              </w:rPr>
              <w:t>所提供货物为非进口货物的“剩余使用期限”需大于等于该货物“使用期限”的95%；所提供货物为进口货物的，要求交货（开箱验收）时所提供货物的生产日期在6个月以内。</w:t>
            </w:r>
          </w:p>
          <w:p w14:paraId="64A3AF81">
            <w:pPr>
              <w:keepNext w:val="0"/>
              <w:keepLines w:val="0"/>
              <w:pageBreakBefore w:val="0"/>
              <w:widowControl/>
              <w:suppressLineNumbers w:val="0"/>
              <w:overflowPunct/>
              <w:bidi w:val="0"/>
              <w:adjustRightInd w:val="0"/>
              <w:snapToGrid w:val="0"/>
              <w:spacing w:line="360" w:lineRule="exact"/>
              <w:ind w:left="63" w:leftChars="30"/>
              <w:jc w:val="left"/>
              <w:textAlignment w:val="baseline"/>
              <w:rPr>
                <w:rFonts w:hint="eastAsia" w:ascii="方正仿宋_GB2312" w:hAnsi="方正仿宋_GB2312" w:eastAsia="方正仿宋_GB2312" w:cs="方正仿宋_GB2312"/>
                <w:snapToGrid w:val="0"/>
                <w:color w:val="auto"/>
                <w:spacing w:val="5"/>
                <w:kern w:val="0"/>
                <w:sz w:val="28"/>
                <w:szCs w:val="28"/>
                <w:lang w:val="en-US" w:eastAsia="en-US" w:bidi="ar-SA"/>
              </w:rPr>
            </w:pPr>
            <w:r>
              <w:rPr>
                <w:rFonts w:hint="eastAsia" w:ascii="方正仿宋_GB2312" w:hAnsi="方正仿宋_GB2312" w:eastAsia="方正仿宋_GB2312" w:cs="方正仿宋_GB2312"/>
                <w:snapToGrid w:val="0"/>
                <w:color w:val="auto"/>
                <w:spacing w:val="5"/>
                <w:kern w:val="0"/>
                <w:sz w:val="28"/>
                <w:szCs w:val="28"/>
                <w:lang w:val="en-US" w:eastAsia="zh-CN" w:bidi="ar-SA"/>
              </w:rPr>
              <w:t>备注：“使用期限”指《医疗器械监督管理条例（中华人民共和国国务院令第739 号）》及相关法规指明的“使用期限”。“剩余使用期限”指从中标人交货时到该货物达到规定的“使用期限”所剩余的时间。计算方法为：“剩余使用期限”=“使用期限”-（货物生产日期至中标人交货日期的时间间隔）。如某货物，其“使用期限”为60个月，生产日期为2024年1月1日，中标人交货日期为2024年3月31日。其“剩余使用期限”=60个月-3个月=57个月。</w:t>
            </w:r>
          </w:p>
        </w:tc>
      </w:tr>
      <w:tr w14:paraId="710013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B4217E">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kern w:val="0"/>
                <w:sz w:val="28"/>
                <w:szCs w:val="28"/>
                <w:lang w:val="en-US" w:eastAsia="zh-CN"/>
              </w:rPr>
            </w:pPr>
            <w:bookmarkStart w:id="9" w:name="_Toc204778412"/>
            <w:r>
              <w:rPr>
                <w:rFonts w:hint="eastAsia" w:ascii="方正仿宋_GB2312" w:hAnsi="方正仿宋_GB2312" w:eastAsia="方正仿宋_GB2312" w:cs="方正仿宋_GB2312"/>
                <w:snapToGrid w:val="0"/>
                <w:color w:val="auto"/>
                <w:spacing w:val="6"/>
                <w:kern w:val="0"/>
                <w:sz w:val="28"/>
                <w:szCs w:val="28"/>
              </w:rPr>
              <w:t>1</w:t>
            </w:r>
            <w:bookmarkEnd w:id="9"/>
            <w:r>
              <w:rPr>
                <w:rFonts w:hint="eastAsia" w:ascii="方正仿宋_GB2312" w:hAnsi="方正仿宋_GB2312" w:eastAsia="方正仿宋_GB2312" w:cs="方正仿宋_GB2312"/>
                <w:snapToGrid w:val="0"/>
                <w:color w:val="auto"/>
                <w:spacing w:val="6"/>
                <w:kern w:val="0"/>
                <w:sz w:val="28"/>
                <w:szCs w:val="28"/>
                <w:lang w:val="en-US" w:eastAsia="zh-CN"/>
              </w:rPr>
              <w:t>1</w:t>
            </w:r>
            <w:bookmarkStart w:id="11" w:name="_GoBack"/>
            <w:bookmarkEnd w:id="11"/>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0D3329">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b w:val="0"/>
                <w:bCs w:val="0"/>
                <w:snapToGrid w:val="0"/>
                <w:color w:val="auto"/>
                <w:spacing w:val="-2"/>
                <w:kern w:val="0"/>
                <w:sz w:val="28"/>
                <w:szCs w:val="28"/>
                <w:lang w:eastAsia="en-US"/>
              </w:rPr>
            </w:pPr>
            <w:bookmarkStart w:id="10" w:name="_Toc204778413"/>
            <w:r>
              <w:rPr>
                <w:rFonts w:hint="eastAsia" w:ascii="方正仿宋_GB2312" w:hAnsi="方正仿宋_GB2312" w:eastAsia="方正仿宋_GB2312" w:cs="方正仿宋_GB2312"/>
                <w:b w:val="0"/>
                <w:bCs w:val="0"/>
                <w:snapToGrid w:val="0"/>
                <w:color w:val="auto"/>
                <w:spacing w:val="-2"/>
                <w:kern w:val="0"/>
                <w:sz w:val="28"/>
                <w:szCs w:val="28"/>
                <w:lang w:eastAsia="en-US"/>
              </w:rPr>
              <w:t>其他</w:t>
            </w:r>
          </w:p>
          <w:p w14:paraId="54B66789">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snapToGrid w:val="0"/>
                <w:color w:val="auto"/>
                <w:spacing w:val="6"/>
                <w:kern w:val="0"/>
                <w:sz w:val="28"/>
                <w:szCs w:val="28"/>
              </w:rPr>
            </w:pPr>
            <w:r>
              <w:rPr>
                <w:rFonts w:hint="eastAsia" w:ascii="方正仿宋_GB2312" w:hAnsi="方正仿宋_GB2312" w:eastAsia="方正仿宋_GB2312" w:cs="方正仿宋_GB2312"/>
                <w:b w:val="0"/>
                <w:bCs w:val="0"/>
                <w:snapToGrid w:val="0"/>
                <w:color w:val="auto"/>
                <w:spacing w:val="-2"/>
                <w:kern w:val="0"/>
                <w:sz w:val="28"/>
                <w:szCs w:val="28"/>
                <w:lang w:eastAsia="en-US"/>
              </w:rPr>
              <w:t>要求</w:t>
            </w:r>
            <w:bookmarkEnd w:id="10"/>
          </w:p>
        </w:tc>
        <w:tc>
          <w:tcPr>
            <w:tcW w:w="4042" w:type="pct"/>
            <w:tcBorders>
              <w:top w:val="single" w:color="000000" w:sz="4" w:space="0"/>
              <w:left w:val="single" w:color="000000" w:sz="4" w:space="0"/>
              <w:bottom w:val="single" w:color="000000" w:sz="4" w:space="0"/>
              <w:right w:val="single" w:color="000000" w:sz="4" w:space="0"/>
            </w:tcBorders>
            <w:shd w:val="clear" w:color="auto" w:fill="FFFFFF"/>
          </w:tcPr>
          <w:p w14:paraId="0213A5F6">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1.投标文件中提供投标产品对外公开的产品彩页或说明书（体现技术参数，可以是从生产厂家网页下载的PDF或HTM文件或在食品药品监督管理部门备案的技术参数或检测报告或生产厂家盖章的技术参数证明材料），以供评标时核对。当投标文件提供的仪器性能参数与该仪器生产商提供的性能参数不符合时，以后者为准。</w:t>
            </w:r>
          </w:p>
          <w:p w14:paraId="26562941">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2.中标人在供货时必须提供所投标产品生产厂家合法授权的厂家代理商出具的授权书</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原件备查。</w:t>
            </w:r>
          </w:p>
          <w:p w14:paraId="056455D5">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lang w:val="en-US" w:eastAsia="zh-CN"/>
              </w:rPr>
              <w:t>3</w:t>
            </w:r>
            <w:r>
              <w:rPr>
                <w:rFonts w:hint="eastAsia" w:ascii="方正仿宋_GB2312" w:hAnsi="方正仿宋_GB2312" w:eastAsia="方正仿宋_GB2312" w:cs="方正仿宋_GB2312"/>
                <w:snapToGrid w:val="0"/>
                <w:color w:val="auto"/>
                <w:spacing w:val="5"/>
                <w:kern w:val="0"/>
                <w:sz w:val="28"/>
                <w:szCs w:val="28"/>
              </w:rPr>
              <w:t>.在安装期间，未按安全文明作业规范要求进行的，尤其是违</w:t>
            </w:r>
            <w:r>
              <w:rPr>
                <w:rFonts w:hint="eastAsia" w:ascii="方正仿宋_GB2312" w:hAnsi="方正仿宋_GB2312" w:eastAsia="方正仿宋_GB2312" w:cs="方正仿宋_GB2312"/>
                <w:snapToGrid w:val="0"/>
                <w:color w:val="auto"/>
                <w:spacing w:val="5"/>
                <w:kern w:val="0"/>
                <w:sz w:val="28"/>
                <w:szCs w:val="28"/>
                <w:lang w:val="en-US" w:eastAsia="zh-CN"/>
              </w:rPr>
              <w:t>反</w:t>
            </w:r>
            <w:r>
              <w:rPr>
                <w:rFonts w:hint="eastAsia" w:ascii="方正仿宋_GB2312" w:hAnsi="方正仿宋_GB2312" w:eastAsia="方正仿宋_GB2312" w:cs="方正仿宋_GB2312"/>
                <w:snapToGrid w:val="0"/>
                <w:color w:val="auto"/>
                <w:spacing w:val="5"/>
                <w:kern w:val="0"/>
                <w:sz w:val="28"/>
                <w:szCs w:val="28"/>
              </w:rPr>
              <w:t xml:space="preserve">工完场清和禁烟规定的，限期整改不合格的，视情节严重情况扣除合同款项10-1000元/次。 </w:t>
            </w:r>
          </w:p>
          <w:p w14:paraId="27BF4F4D">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6"/>
                <w:kern w:val="0"/>
                <w:sz w:val="28"/>
                <w:szCs w:val="28"/>
              </w:rPr>
            </w:pPr>
            <w:r>
              <w:rPr>
                <w:rFonts w:hint="eastAsia" w:ascii="方正仿宋_GB2312" w:hAnsi="方正仿宋_GB2312" w:eastAsia="方正仿宋_GB2312" w:cs="方正仿宋_GB2312"/>
                <w:snapToGrid w:val="0"/>
                <w:color w:val="auto"/>
                <w:spacing w:val="5"/>
                <w:kern w:val="0"/>
                <w:sz w:val="28"/>
                <w:szCs w:val="28"/>
                <w:lang w:val="en-US" w:eastAsia="zh-CN"/>
              </w:rPr>
              <w:t>4</w:t>
            </w:r>
            <w:r>
              <w:rPr>
                <w:rFonts w:hint="eastAsia" w:ascii="方正仿宋_GB2312" w:hAnsi="方正仿宋_GB2312" w:eastAsia="方正仿宋_GB2312" w:cs="方正仿宋_GB2312"/>
                <w:snapToGrid w:val="0"/>
                <w:color w:val="auto"/>
                <w:spacing w:val="5"/>
                <w:kern w:val="0"/>
                <w:sz w:val="28"/>
                <w:szCs w:val="28"/>
              </w:rPr>
              <w:t xml:space="preserve">.发生其他安装和维保不合格情况的，限期整改不合格的，视情节严重情况扣除合同款项10-1000元/次。情节特别严重，导致项目无法实施的，采购人免责终止该项目合同。 </w:t>
            </w:r>
          </w:p>
        </w:tc>
      </w:tr>
      <w:tr w14:paraId="6C4F5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000" w:type="pct"/>
            <w:gridSpan w:val="3"/>
            <w:vAlign w:val="center"/>
          </w:tcPr>
          <w:p w14:paraId="3C2C3AD7">
            <w:pPr>
              <w:keepNext/>
              <w:keepLines w:val="0"/>
              <w:pageBreakBefore w:val="0"/>
              <w:widowControl w:val="0"/>
              <w:kinsoku/>
              <w:wordWrap w:val="0"/>
              <w:overflowPunct/>
              <w:topLinePunct/>
              <w:autoSpaceDE/>
              <w:autoSpaceDN/>
              <w:bidi w:val="0"/>
              <w:adjustRightInd w:val="0"/>
              <w:snapToGrid w:val="0"/>
              <w:spacing w:before="227" w:line="360" w:lineRule="exact"/>
              <w:ind w:left="63" w:leftChars="30"/>
              <w:jc w:val="left"/>
              <w:textAlignment w:val="baseline"/>
              <w:rPr>
                <w:rFonts w:hint="eastAsia" w:ascii="方正仿宋_GB2312" w:hAnsi="方正仿宋_GB2312" w:eastAsia="方正仿宋_GB2312" w:cs="方正仿宋_GB2312"/>
                <w:snapToGrid w:val="0"/>
                <w:color w:val="auto"/>
                <w:kern w:val="0"/>
                <w:sz w:val="28"/>
                <w:szCs w:val="28"/>
                <w:lang w:eastAsia="en-US"/>
              </w:rPr>
            </w:pPr>
            <w:r>
              <w:rPr>
                <w:rFonts w:hint="eastAsia" w:ascii="方正仿宋_GB2312" w:hAnsi="方正仿宋_GB2312" w:eastAsia="方正仿宋_GB2312" w:cs="方正仿宋_GB2312"/>
                <w:snapToGrid w:val="0"/>
                <w:color w:val="auto"/>
                <w:spacing w:val="-4"/>
                <w:kern w:val="0"/>
                <w:sz w:val="28"/>
                <w:szCs w:val="28"/>
              </w:rPr>
              <w:t>三</w:t>
            </w:r>
            <w:r>
              <w:rPr>
                <w:rFonts w:hint="eastAsia" w:ascii="方正仿宋_GB2312" w:hAnsi="方正仿宋_GB2312" w:eastAsia="方正仿宋_GB2312" w:cs="方正仿宋_GB2312"/>
                <w:snapToGrid w:val="0"/>
                <w:color w:val="auto"/>
                <w:spacing w:val="-4"/>
                <w:kern w:val="0"/>
                <w:sz w:val="28"/>
                <w:szCs w:val="28"/>
                <w:lang w:eastAsia="en-US"/>
              </w:rPr>
              <w:t>、进口产品说明</w:t>
            </w:r>
          </w:p>
        </w:tc>
      </w:tr>
      <w:tr w14:paraId="018B2F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vAlign w:val="center"/>
          </w:tcPr>
          <w:p w14:paraId="28B6F4DA">
            <w:pPr>
              <w:keepNext/>
              <w:keepLines w:val="0"/>
              <w:pageBreakBefore w:val="0"/>
              <w:widowControl w:val="0"/>
              <w:kinsoku/>
              <w:wordWrap w:val="0"/>
              <w:overflowPunct/>
              <w:topLinePunct/>
              <w:autoSpaceDE/>
              <w:autoSpaceDN/>
              <w:bidi w:val="0"/>
              <w:adjustRightInd w:val="0"/>
              <w:snapToGrid w:val="0"/>
              <w:spacing w:before="72"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lang w:eastAsia="en-US"/>
              </w:rPr>
            </w:pPr>
            <w:r>
              <w:rPr>
                <w:rFonts w:hint="eastAsia" w:ascii="方正仿宋_GB2312" w:hAnsi="方正仿宋_GB2312" w:eastAsia="方正仿宋_GB2312" w:cs="方正仿宋_GB2312"/>
                <w:snapToGrid w:val="0"/>
                <w:color w:val="auto"/>
                <w:kern w:val="0"/>
                <w:sz w:val="28"/>
                <w:szCs w:val="28"/>
                <w:lang w:eastAsia="en-US"/>
              </w:rPr>
              <w:t>1</w:t>
            </w:r>
          </w:p>
        </w:tc>
        <w:tc>
          <w:tcPr>
            <w:tcW w:w="569" w:type="pct"/>
            <w:vAlign w:val="center"/>
          </w:tcPr>
          <w:p w14:paraId="7B52547E">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snapToGrid w:val="0"/>
                <w:color w:val="auto"/>
                <w:spacing w:val="-1"/>
                <w:kern w:val="0"/>
                <w:sz w:val="28"/>
                <w:szCs w:val="28"/>
                <w:lang w:eastAsia="en-US"/>
              </w:rPr>
            </w:pPr>
            <w:r>
              <w:rPr>
                <w:rFonts w:hint="eastAsia" w:ascii="方正仿宋_GB2312" w:hAnsi="方正仿宋_GB2312" w:eastAsia="方正仿宋_GB2312" w:cs="方正仿宋_GB2312"/>
                <w:snapToGrid w:val="0"/>
                <w:color w:val="auto"/>
                <w:spacing w:val="-1"/>
                <w:kern w:val="0"/>
                <w:sz w:val="28"/>
                <w:szCs w:val="28"/>
                <w:lang w:eastAsia="en-US"/>
              </w:rPr>
              <w:t>进口</w:t>
            </w:r>
          </w:p>
          <w:p w14:paraId="75990D00">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snapToGrid w:val="0"/>
                <w:color w:val="auto"/>
                <w:spacing w:val="-1"/>
                <w:kern w:val="0"/>
                <w:sz w:val="28"/>
                <w:szCs w:val="28"/>
                <w:lang w:eastAsia="en-US"/>
              </w:rPr>
            </w:pPr>
            <w:r>
              <w:rPr>
                <w:rFonts w:hint="eastAsia" w:ascii="方正仿宋_GB2312" w:hAnsi="方正仿宋_GB2312" w:eastAsia="方正仿宋_GB2312" w:cs="方正仿宋_GB2312"/>
                <w:snapToGrid w:val="0"/>
                <w:color w:val="auto"/>
                <w:spacing w:val="-1"/>
                <w:kern w:val="0"/>
                <w:sz w:val="28"/>
                <w:szCs w:val="28"/>
                <w:lang w:eastAsia="en-US"/>
              </w:rPr>
              <w:t>产品</w:t>
            </w:r>
          </w:p>
          <w:p w14:paraId="064BE170">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lang w:eastAsia="en-US"/>
              </w:rPr>
            </w:pPr>
            <w:r>
              <w:rPr>
                <w:rFonts w:hint="eastAsia" w:ascii="方正仿宋_GB2312" w:hAnsi="方正仿宋_GB2312" w:eastAsia="方正仿宋_GB2312" w:cs="方正仿宋_GB2312"/>
                <w:snapToGrid w:val="0"/>
                <w:color w:val="auto"/>
                <w:spacing w:val="-1"/>
                <w:kern w:val="0"/>
                <w:sz w:val="28"/>
                <w:szCs w:val="28"/>
                <w:lang w:eastAsia="en-US"/>
              </w:rPr>
              <w:t>说明</w:t>
            </w:r>
          </w:p>
        </w:tc>
        <w:tc>
          <w:tcPr>
            <w:tcW w:w="4042" w:type="pct"/>
          </w:tcPr>
          <w:p w14:paraId="5897042C">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580" w:firstLineChars="2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本投标产品可选用进口产品；选用进口产品时必须为全套原装进口产品（即通过中国海关报关验放进入中国境内且产自关境外的产品），同时</w:t>
            </w:r>
            <w:r>
              <w:rPr>
                <w:rFonts w:hint="eastAsia" w:ascii="方正仿宋_GB2312" w:hAnsi="方正仿宋_GB2312" w:eastAsia="方正仿宋_GB2312" w:cs="方正仿宋_GB2312"/>
                <w:snapToGrid w:val="0"/>
                <w:color w:val="auto"/>
                <w:spacing w:val="5"/>
                <w:kern w:val="0"/>
                <w:sz w:val="28"/>
                <w:szCs w:val="28"/>
                <w:lang w:eastAsia="zh-CN"/>
              </w:rPr>
              <w:t>中标人</w:t>
            </w:r>
            <w:r>
              <w:rPr>
                <w:rFonts w:hint="eastAsia" w:ascii="方正仿宋_GB2312" w:hAnsi="方正仿宋_GB2312" w:eastAsia="方正仿宋_GB2312" w:cs="方正仿宋_GB2312"/>
                <w:snapToGrid w:val="0"/>
                <w:color w:val="auto"/>
                <w:spacing w:val="5"/>
                <w:kern w:val="0"/>
                <w:sz w:val="28"/>
                <w:szCs w:val="28"/>
              </w:rPr>
              <w:t>必须负责办理进口产品所有相关手续并承担所有费用。优先采购向我国企业转让技术、与我国企业签订消化吸收再创新方案的</w:t>
            </w:r>
            <w:r>
              <w:rPr>
                <w:rFonts w:hint="eastAsia" w:ascii="方正仿宋_GB2312" w:hAnsi="方正仿宋_GB2312" w:eastAsia="方正仿宋_GB2312" w:cs="方正仿宋_GB2312"/>
                <w:snapToGrid w:val="0"/>
                <w:color w:val="auto"/>
                <w:spacing w:val="5"/>
                <w:kern w:val="0"/>
                <w:sz w:val="28"/>
                <w:szCs w:val="28"/>
                <w:lang w:eastAsia="zh-CN"/>
              </w:rPr>
              <w:t>中标人</w:t>
            </w:r>
            <w:r>
              <w:rPr>
                <w:rFonts w:hint="eastAsia" w:ascii="方正仿宋_GB2312" w:hAnsi="方正仿宋_GB2312" w:eastAsia="方正仿宋_GB2312" w:cs="方正仿宋_GB2312"/>
                <w:snapToGrid w:val="0"/>
                <w:color w:val="auto"/>
                <w:spacing w:val="5"/>
                <w:kern w:val="0"/>
                <w:sz w:val="28"/>
                <w:szCs w:val="28"/>
              </w:rPr>
              <w:t>的进口产品。</w:t>
            </w:r>
          </w:p>
          <w:p w14:paraId="71E78C7A">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580" w:firstLineChars="200"/>
              <w:textAlignment w:val="baseline"/>
              <w:rPr>
                <w:rFonts w:hint="eastAsia" w:ascii="方正仿宋_GB2312" w:hAnsi="方正仿宋_GB2312" w:eastAsia="方正仿宋_GB2312" w:cs="方正仿宋_GB2312"/>
                <w:snapToGrid w:val="0"/>
                <w:color w:val="auto"/>
                <w:kern w:val="0"/>
                <w:sz w:val="28"/>
                <w:szCs w:val="28"/>
              </w:rPr>
            </w:pPr>
            <w:r>
              <w:rPr>
                <w:rFonts w:hint="eastAsia" w:ascii="方正仿宋_GB2312" w:hAnsi="方正仿宋_GB2312" w:eastAsia="方正仿宋_GB2312" w:cs="方正仿宋_GB2312"/>
                <w:snapToGrid w:val="0"/>
                <w:color w:val="auto"/>
                <w:spacing w:val="5"/>
                <w:kern w:val="0"/>
                <w:sz w:val="28"/>
                <w:szCs w:val="28"/>
              </w:rPr>
              <w:sym w:font="Wingdings 2" w:char="00A3"/>
            </w:r>
            <w:r>
              <w:rPr>
                <w:rFonts w:hint="eastAsia" w:ascii="方正仿宋_GB2312" w:hAnsi="方正仿宋_GB2312" w:eastAsia="方正仿宋_GB2312" w:cs="方正仿宋_GB2312"/>
                <w:snapToGrid w:val="0"/>
                <w:color w:val="auto"/>
                <w:spacing w:val="5"/>
                <w:kern w:val="0"/>
                <w:sz w:val="28"/>
                <w:szCs w:val="28"/>
              </w:rPr>
              <w:t>本标项货物不接受进口产品（即通过中国海关报关验放进入中国境内且产自关境外的产品）参与投标，如有进口产品参与投标的作无效标处理。</w:t>
            </w:r>
          </w:p>
        </w:tc>
      </w:tr>
    </w:tbl>
    <w:p w14:paraId="3B2D90D8">
      <w:pPr>
        <w:keepNext/>
        <w:keepLines w:val="0"/>
        <w:pageBreakBefore w:val="0"/>
        <w:widowControl w:val="0"/>
        <w:kinsoku/>
        <w:wordWrap w:val="0"/>
        <w:overflowPunct/>
        <w:topLinePunct/>
        <w:autoSpaceDE/>
        <w:autoSpaceDN/>
        <w:bidi w:val="0"/>
        <w:adjustRightInd w:val="0"/>
        <w:snapToGrid w:val="0"/>
        <w:rPr>
          <w:rFonts w:hint="eastAsia" w:ascii="方正仿宋_GB2312" w:hAnsi="方正仿宋_GB2312" w:eastAsia="方正仿宋_GB2312" w:cs="方正仿宋_GB2312"/>
          <w:sz w:val="28"/>
          <w:szCs w:val="28"/>
        </w:rPr>
      </w:pPr>
    </w:p>
    <w:sectPr>
      <w:headerReference r:id="rId5" w:type="default"/>
      <w:footerReference r:id="rId6" w:type="default"/>
      <w:pgSz w:w="11906" w:h="16838"/>
      <w:pgMar w:top="1247" w:right="1247" w:bottom="1247" w:left="124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1" w:fontKey="{4B1615C3-69B3-4E2A-A06C-B9BA8CD6D834}"/>
  </w:font>
  <w:font w:name="方正仿宋_GB2312">
    <w:panose1 w:val="02000000000000000000"/>
    <w:charset w:val="86"/>
    <w:family w:val="auto"/>
    <w:pitch w:val="default"/>
    <w:sig w:usb0="A00002BF" w:usb1="184F6CFA" w:usb2="00000012" w:usb3="00000000" w:csb0="00040001" w:csb1="00000000"/>
    <w:embedRegular r:id="rId2" w:fontKey="{1E2F0372-88C6-4627-A362-25AC7B37A306}"/>
  </w:font>
  <w:font w:name="Wingdings 2">
    <w:panose1 w:val="05020102010507070707"/>
    <w:charset w:val="02"/>
    <w:family w:val="roman"/>
    <w:pitch w:val="default"/>
    <w:sig w:usb0="00000000" w:usb1="00000000" w:usb2="00000000" w:usb3="00000000" w:csb0="80000000" w:csb1="00000000"/>
    <w:embedRegular r:id="rId3" w:fontKey="{689A6785-8324-4DA1-9ABB-BCB3D96E631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669B6">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963FF4">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A963FF4">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5923D">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20AC7"/>
    <w:rsid w:val="00A65FA9"/>
    <w:rsid w:val="00BD415B"/>
    <w:rsid w:val="013712F7"/>
    <w:rsid w:val="018A1427"/>
    <w:rsid w:val="01A36CAD"/>
    <w:rsid w:val="01A52705"/>
    <w:rsid w:val="01AA29F1"/>
    <w:rsid w:val="01B82438"/>
    <w:rsid w:val="02026E30"/>
    <w:rsid w:val="020E2058"/>
    <w:rsid w:val="02290C40"/>
    <w:rsid w:val="02604634"/>
    <w:rsid w:val="0270061D"/>
    <w:rsid w:val="027D0F8C"/>
    <w:rsid w:val="028C5C11"/>
    <w:rsid w:val="02B74A8F"/>
    <w:rsid w:val="02CD47AD"/>
    <w:rsid w:val="02F3787E"/>
    <w:rsid w:val="03027DDA"/>
    <w:rsid w:val="0309532E"/>
    <w:rsid w:val="030D0562"/>
    <w:rsid w:val="03196F07"/>
    <w:rsid w:val="03411FB9"/>
    <w:rsid w:val="03D073F5"/>
    <w:rsid w:val="042E69E2"/>
    <w:rsid w:val="04450EA5"/>
    <w:rsid w:val="04583A5F"/>
    <w:rsid w:val="049727D9"/>
    <w:rsid w:val="049D3B67"/>
    <w:rsid w:val="049F5394"/>
    <w:rsid w:val="04CB2AFA"/>
    <w:rsid w:val="05695DF6"/>
    <w:rsid w:val="05E859B2"/>
    <w:rsid w:val="05EF3F4F"/>
    <w:rsid w:val="060F45F1"/>
    <w:rsid w:val="061912CB"/>
    <w:rsid w:val="06A411DD"/>
    <w:rsid w:val="06B56F46"/>
    <w:rsid w:val="06C61034"/>
    <w:rsid w:val="074E2EF7"/>
    <w:rsid w:val="0754556F"/>
    <w:rsid w:val="07AA0018"/>
    <w:rsid w:val="08406CE4"/>
    <w:rsid w:val="084A190F"/>
    <w:rsid w:val="089B0735"/>
    <w:rsid w:val="08AA0601"/>
    <w:rsid w:val="08AE340D"/>
    <w:rsid w:val="0911117F"/>
    <w:rsid w:val="09385C0D"/>
    <w:rsid w:val="095A5B83"/>
    <w:rsid w:val="09864BCA"/>
    <w:rsid w:val="09904BAE"/>
    <w:rsid w:val="09CF031F"/>
    <w:rsid w:val="09E044EE"/>
    <w:rsid w:val="09F61D50"/>
    <w:rsid w:val="09F85C5C"/>
    <w:rsid w:val="0A636CB9"/>
    <w:rsid w:val="0A7669ED"/>
    <w:rsid w:val="0AB27352"/>
    <w:rsid w:val="0ABD757B"/>
    <w:rsid w:val="0B114DF3"/>
    <w:rsid w:val="0B7F5D75"/>
    <w:rsid w:val="0BCF0C3D"/>
    <w:rsid w:val="0C357C33"/>
    <w:rsid w:val="0C782EF0"/>
    <w:rsid w:val="0CA065CC"/>
    <w:rsid w:val="0CA21D1B"/>
    <w:rsid w:val="0CEF2A86"/>
    <w:rsid w:val="0D0B5B12"/>
    <w:rsid w:val="0D493385"/>
    <w:rsid w:val="0D554FDF"/>
    <w:rsid w:val="0D7731A8"/>
    <w:rsid w:val="0D942D77"/>
    <w:rsid w:val="0DA73361"/>
    <w:rsid w:val="0E2E162B"/>
    <w:rsid w:val="0E74188B"/>
    <w:rsid w:val="0E8853C5"/>
    <w:rsid w:val="0EB07B0D"/>
    <w:rsid w:val="0EEC3721"/>
    <w:rsid w:val="0F2F1860"/>
    <w:rsid w:val="0F331350"/>
    <w:rsid w:val="0F5C36F4"/>
    <w:rsid w:val="0F625791"/>
    <w:rsid w:val="0F87344A"/>
    <w:rsid w:val="0FC621C4"/>
    <w:rsid w:val="101C0036"/>
    <w:rsid w:val="10594DE6"/>
    <w:rsid w:val="105E2D2D"/>
    <w:rsid w:val="106D0892"/>
    <w:rsid w:val="10AC760C"/>
    <w:rsid w:val="10B244F7"/>
    <w:rsid w:val="111B02EE"/>
    <w:rsid w:val="112E0021"/>
    <w:rsid w:val="115000CA"/>
    <w:rsid w:val="11716160"/>
    <w:rsid w:val="11A93B4C"/>
    <w:rsid w:val="11B73076"/>
    <w:rsid w:val="11D32976"/>
    <w:rsid w:val="11EA75DF"/>
    <w:rsid w:val="12896427"/>
    <w:rsid w:val="1295185D"/>
    <w:rsid w:val="129A5D7C"/>
    <w:rsid w:val="12AF41DF"/>
    <w:rsid w:val="12C624DB"/>
    <w:rsid w:val="12F47048"/>
    <w:rsid w:val="13001549"/>
    <w:rsid w:val="131B1B12"/>
    <w:rsid w:val="136A730B"/>
    <w:rsid w:val="137D5290"/>
    <w:rsid w:val="1457788F"/>
    <w:rsid w:val="146975C2"/>
    <w:rsid w:val="149D5F32"/>
    <w:rsid w:val="14D94E49"/>
    <w:rsid w:val="14DB226E"/>
    <w:rsid w:val="14E43B91"/>
    <w:rsid w:val="14FC635E"/>
    <w:rsid w:val="152C12B6"/>
    <w:rsid w:val="15363948"/>
    <w:rsid w:val="15393935"/>
    <w:rsid w:val="155E4E4E"/>
    <w:rsid w:val="15B42D93"/>
    <w:rsid w:val="15C030DB"/>
    <w:rsid w:val="15FA2BC8"/>
    <w:rsid w:val="15FC399F"/>
    <w:rsid w:val="160E65C0"/>
    <w:rsid w:val="168D3A3C"/>
    <w:rsid w:val="16BF34C9"/>
    <w:rsid w:val="16FF3E93"/>
    <w:rsid w:val="178A7F7B"/>
    <w:rsid w:val="17A21261"/>
    <w:rsid w:val="17A70B2D"/>
    <w:rsid w:val="18116229"/>
    <w:rsid w:val="187327BD"/>
    <w:rsid w:val="187622AE"/>
    <w:rsid w:val="18890233"/>
    <w:rsid w:val="190F0FBB"/>
    <w:rsid w:val="193261D5"/>
    <w:rsid w:val="19404D95"/>
    <w:rsid w:val="199724DC"/>
    <w:rsid w:val="19D96F98"/>
    <w:rsid w:val="1A051B3B"/>
    <w:rsid w:val="1A0C7818"/>
    <w:rsid w:val="1A3667F2"/>
    <w:rsid w:val="1A5064FB"/>
    <w:rsid w:val="1B0765E4"/>
    <w:rsid w:val="1B1C0EEA"/>
    <w:rsid w:val="1B283D33"/>
    <w:rsid w:val="1B8F3DB2"/>
    <w:rsid w:val="1B910BFE"/>
    <w:rsid w:val="1BCF41AF"/>
    <w:rsid w:val="1BFE4A94"/>
    <w:rsid w:val="1C4E1E20"/>
    <w:rsid w:val="1C8A0083"/>
    <w:rsid w:val="1CF32506"/>
    <w:rsid w:val="1CF77E61"/>
    <w:rsid w:val="1D2B7B0B"/>
    <w:rsid w:val="1D392227"/>
    <w:rsid w:val="1D3F5364"/>
    <w:rsid w:val="1D501C9D"/>
    <w:rsid w:val="1DA47089"/>
    <w:rsid w:val="1DE026A3"/>
    <w:rsid w:val="1DFB128B"/>
    <w:rsid w:val="1E0068A1"/>
    <w:rsid w:val="1E5E181A"/>
    <w:rsid w:val="1E616D7F"/>
    <w:rsid w:val="1EB853CE"/>
    <w:rsid w:val="1F36755F"/>
    <w:rsid w:val="1F3A2287"/>
    <w:rsid w:val="1F3D3B25"/>
    <w:rsid w:val="1F7E2174"/>
    <w:rsid w:val="1F7F5EEC"/>
    <w:rsid w:val="1F933745"/>
    <w:rsid w:val="1FD66426"/>
    <w:rsid w:val="209634ED"/>
    <w:rsid w:val="20C644A2"/>
    <w:rsid w:val="20DA59F7"/>
    <w:rsid w:val="21311468"/>
    <w:rsid w:val="21694BF3"/>
    <w:rsid w:val="217A63C6"/>
    <w:rsid w:val="217E2424"/>
    <w:rsid w:val="21843C8D"/>
    <w:rsid w:val="21967F35"/>
    <w:rsid w:val="219B29E3"/>
    <w:rsid w:val="220D7240"/>
    <w:rsid w:val="22143E47"/>
    <w:rsid w:val="221768AF"/>
    <w:rsid w:val="22180001"/>
    <w:rsid w:val="225C6BC5"/>
    <w:rsid w:val="22BA7DA5"/>
    <w:rsid w:val="237D224F"/>
    <w:rsid w:val="2393640A"/>
    <w:rsid w:val="23AC2B31"/>
    <w:rsid w:val="24457704"/>
    <w:rsid w:val="24533503"/>
    <w:rsid w:val="2480073C"/>
    <w:rsid w:val="24884DCE"/>
    <w:rsid w:val="248C70E1"/>
    <w:rsid w:val="24BB1774"/>
    <w:rsid w:val="24BE1264"/>
    <w:rsid w:val="25182FA4"/>
    <w:rsid w:val="251B0465"/>
    <w:rsid w:val="263603F8"/>
    <w:rsid w:val="26D73F78"/>
    <w:rsid w:val="26E72CF4"/>
    <w:rsid w:val="27133AE9"/>
    <w:rsid w:val="273623EB"/>
    <w:rsid w:val="273D0B66"/>
    <w:rsid w:val="27554102"/>
    <w:rsid w:val="27B743A2"/>
    <w:rsid w:val="27B905A9"/>
    <w:rsid w:val="28086376"/>
    <w:rsid w:val="280A3E3D"/>
    <w:rsid w:val="28F2659B"/>
    <w:rsid w:val="2992210E"/>
    <w:rsid w:val="29B438A7"/>
    <w:rsid w:val="29C83EC1"/>
    <w:rsid w:val="29CE019B"/>
    <w:rsid w:val="2A4D1005"/>
    <w:rsid w:val="2A555EA3"/>
    <w:rsid w:val="2A64465C"/>
    <w:rsid w:val="2A6D3510"/>
    <w:rsid w:val="2A726C79"/>
    <w:rsid w:val="2AE5579D"/>
    <w:rsid w:val="2AEC0CB5"/>
    <w:rsid w:val="2AEF3F25"/>
    <w:rsid w:val="2B1C6CE5"/>
    <w:rsid w:val="2BC37160"/>
    <w:rsid w:val="2BE5357A"/>
    <w:rsid w:val="2C4B4786"/>
    <w:rsid w:val="2C4E2ECE"/>
    <w:rsid w:val="2C66335D"/>
    <w:rsid w:val="2D371BB4"/>
    <w:rsid w:val="2D9D7BD5"/>
    <w:rsid w:val="2DC9216D"/>
    <w:rsid w:val="2DE169BE"/>
    <w:rsid w:val="2E00644A"/>
    <w:rsid w:val="2E206AEC"/>
    <w:rsid w:val="2E5839B6"/>
    <w:rsid w:val="2E746C6C"/>
    <w:rsid w:val="2EEA4413"/>
    <w:rsid w:val="2F6767FD"/>
    <w:rsid w:val="2F9F469B"/>
    <w:rsid w:val="2FAD2601"/>
    <w:rsid w:val="2FEC2378"/>
    <w:rsid w:val="2FF26266"/>
    <w:rsid w:val="3062519A"/>
    <w:rsid w:val="30BD0622"/>
    <w:rsid w:val="30D20571"/>
    <w:rsid w:val="30EF1562"/>
    <w:rsid w:val="31CD723C"/>
    <w:rsid w:val="32096215"/>
    <w:rsid w:val="325D20BC"/>
    <w:rsid w:val="32A23A72"/>
    <w:rsid w:val="32A93A25"/>
    <w:rsid w:val="32CD7482"/>
    <w:rsid w:val="3313201A"/>
    <w:rsid w:val="3330332D"/>
    <w:rsid w:val="336876DB"/>
    <w:rsid w:val="33845A2F"/>
    <w:rsid w:val="33B83428"/>
    <w:rsid w:val="33CD6DCE"/>
    <w:rsid w:val="33E67E90"/>
    <w:rsid w:val="33F00D0E"/>
    <w:rsid w:val="33FC3E4D"/>
    <w:rsid w:val="340A1DD0"/>
    <w:rsid w:val="34120C85"/>
    <w:rsid w:val="34A92E79"/>
    <w:rsid w:val="34AC10D9"/>
    <w:rsid w:val="34BB131C"/>
    <w:rsid w:val="34D072EB"/>
    <w:rsid w:val="35C661CB"/>
    <w:rsid w:val="361B02C4"/>
    <w:rsid w:val="361C403D"/>
    <w:rsid w:val="361C5FF4"/>
    <w:rsid w:val="36704443"/>
    <w:rsid w:val="36F200D8"/>
    <w:rsid w:val="374B5FF6"/>
    <w:rsid w:val="376D2DA2"/>
    <w:rsid w:val="37732199"/>
    <w:rsid w:val="37983B97"/>
    <w:rsid w:val="37A42346"/>
    <w:rsid w:val="38821AF2"/>
    <w:rsid w:val="388D1222"/>
    <w:rsid w:val="38B94930"/>
    <w:rsid w:val="38F95540"/>
    <w:rsid w:val="391159AF"/>
    <w:rsid w:val="391B387E"/>
    <w:rsid w:val="3929719C"/>
    <w:rsid w:val="39534219"/>
    <w:rsid w:val="395F4958"/>
    <w:rsid w:val="39674F51"/>
    <w:rsid w:val="39EC3D26"/>
    <w:rsid w:val="3A001A1F"/>
    <w:rsid w:val="3A9A3BD3"/>
    <w:rsid w:val="3AC32575"/>
    <w:rsid w:val="3ACC4283"/>
    <w:rsid w:val="3AD44EE6"/>
    <w:rsid w:val="3B201ED9"/>
    <w:rsid w:val="3B6A13A1"/>
    <w:rsid w:val="3B9D5C20"/>
    <w:rsid w:val="3BB450C0"/>
    <w:rsid w:val="3BD17D95"/>
    <w:rsid w:val="3BFF68A2"/>
    <w:rsid w:val="3CA64660"/>
    <w:rsid w:val="3CC33464"/>
    <w:rsid w:val="3CDE3DFA"/>
    <w:rsid w:val="3CE31410"/>
    <w:rsid w:val="3D143CBF"/>
    <w:rsid w:val="3D193084"/>
    <w:rsid w:val="3D271C45"/>
    <w:rsid w:val="3D354ABE"/>
    <w:rsid w:val="3D9A6638"/>
    <w:rsid w:val="3DA23079"/>
    <w:rsid w:val="3DB159B2"/>
    <w:rsid w:val="3DE051EE"/>
    <w:rsid w:val="3DE26D5B"/>
    <w:rsid w:val="3E171CB9"/>
    <w:rsid w:val="3E8339E3"/>
    <w:rsid w:val="3ECD05CA"/>
    <w:rsid w:val="3F4F1FFD"/>
    <w:rsid w:val="3F6727CC"/>
    <w:rsid w:val="3FB00DAD"/>
    <w:rsid w:val="3FC01EDD"/>
    <w:rsid w:val="40093884"/>
    <w:rsid w:val="401A339B"/>
    <w:rsid w:val="403C77B5"/>
    <w:rsid w:val="404448BC"/>
    <w:rsid w:val="405F2DDF"/>
    <w:rsid w:val="40D45C40"/>
    <w:rsid w:val="41134EF5"/>
    <w:rsid w:val="413761CE"/>
    <w:rsid w:val="419158DF"/>
    <w:rsid w:val="41D028AB"/>
    <w:rsid w:val="41F36599"/>
    <w:rsid w:val="41FD4D22"/>
    <w:rsid w:val="42187DAE"/>
    <w:rsid w:val="421D53C4"/>
    <w:rsid w:val="423B584A"/>
    <w:rsid w:val="42BC2E2F"/>
    <w:rsid w:val="42CE0963"/>
    <w:rsid w:val="42EE5221"/>
    <w:rsid w:val="43364990"/>
    <w:rsid w:val="434F77FF"/>
    <w:rsid w:val="4357571B"/>
    <w:rsid w:val="43755CA2"/>
    <w:rsid w:val="43866F99"/>
    <w:rsid w:val="43F72B79"/>
    <w:rsid w:val="44205E80"/>
    <w:rsid w:val="44640CB7"/>
    <w:rsid w:val="447A4D50"/>
    <w:rsid w:val="447D039C"/>
    <w:rsid w:val="449A3645"/>
    <w:rsid w:val="44D73F50"/>
    <w:rsid w:val="44F32477"/>
    <w:rsid w:val="450B0CFF"/>
    <w:rsid w:val="451253EA"/>
    <w:rsid w:val="45181E73"/>
    <w:rsid w:val="451E56DB"/>
    <w:rsid w:val="454B049A"/>
    <w:rsid w:val="45905EAD"/>
    <w:rsid w:val="45D264C6"/>
    <w:rsid w:val="468477C0"/>
    <w:rsid w:val="468C0D6B"/>
    <w:rsid w:val="46923DF0"/>
    <w:rsid w:val="46B61944"/>
    <w:rsid w:val="46C21C73"/>
    <w:rsid w:val="47136D96"/>
    <w:rsid w:val="47961C9D"/>
    <w:rsid w:val="47BE4673"/>
    <w:rsid w:val="47FB61A8"/>
    <w:rsid w:val="48221986"/>
    <w:rsid w:val="48401E0D"/>
    <w:rsid w:val="484339CE"/>
    <w:rsid w:val="489D2DBB"/>
    <w:rsid w:val="48BF488B"/>
    <w:rsid w:val="491C0184"/>
    <w:rsid w:val="497A68DE"/>
    <w:rsid w:val="49995C78"/>
    <w:rsid w:val="49E8054F"/>
    <w:rsid w:val="4A633B90"/>
    <w:rsid w:val="4A92068D"/>
    <w:rsid w:val="4ACC0B18"/>
    <w:rsid w:val="4B010734"/>
    <w:rsid w:val="4B272E10"/>
    <w:rsid w:val="4B5E0F27"/>
    <w:rsid w:val="4B63653E"/>
    <w:rsid w:val="4B893ACB"/>
    <w:rsid w:val="4B8D4B24"/>
    <w:rsid w:val="4BEB02E1"/>
    <w:rsid w:val="4C147838"/>
    <w:rsid w:val="4C5E6D05"/>
    <w:rsid w:val="4CA02E7A"/>
    <w:rsid w:val="4CE4720A"/>
    <w:rsid w:val="4CF533DF"/>
    <w:rsid w:val="4D021D86"/>
    <w:rsid w:val="4D0D37D7"/>
    <w:rsid w:val="4D111FCA"/>
    <w:rsid w:val="4D710BC6"/>
    <w:rsid w:val="4D830B29"/>
    <w:rsid w:val="4D93478D"/>
    <w:rsid w:val="4DC46494"/>
    <w:rsid w:val="4E0F6509"/>
    <w:rsid w:val="4E157897"/>
    <w:rsid w:val="4E1C11F2"/>
    <w:rsid w:val="4E1F3561"/>
    <w:rsid w:val="4E3A5E18"/>
    <w:rsid w:val="4E4A12EF"/>
    <w:rsid w:val="4E5B79A0"/>
    <w:rsid w:val="4EB96475"/>
    <w:rsid w:val="4F0470B7"/>
    <w:rsid w:val="4FEE214E"/>
    <w:rsid w:val="4FF04118"/>
    <w:rsid w:val="502508BB"/>
    <w:rsid w:val="50490B56"/>
    <w:rsid w:val="504E3EDE"/>
    <w:rsid w:val="505A6E2D"/>
    <w:rsid w:val="509425AA"/>
    <w:rsid w:val="50971392"/>
    <w:rsid w:val="509A417D"/>
    <w:rsid w:val="50B05655"/>
    <w:rsid w:val="50C26FEA"/>
    <w:rsid w:val="50D43A3A"/>
    <w:rsid w:val="511931FB"/>
    <w:rsid w:val="514E7348"/>
    <w:rsid w:val="51610292"/>
    <w:rsid w:val="5167040A"/>
    <w:rsid w:val="51736DAF"/>
    <w:rsid w:val="518630E1"/>
    <w:rsid w:val="51CB07CC"/>
    <w:rsid w:val="520019A3"/>
    <w:rsid w:val="52172C31"/>
    <w:rsid w:val="526112FD"/>
    <w:rsid w:val="528B1ED6"/>
    <w:rsid w:val="52A26FD5"/>
    <w:rsid w:val="52CD0741"/>
    <w:rsid w:val="531E0F9C"/>
    <w:rsid w:val="531E4353"/>
    <w:rsid w:val="53527C74"/>
    <w:rsid w:val="5353545C"/>
    <w:rsid w:val="535F3A8F"/>
    <w:rsid w:val="53BF452D"/>
    <w:rsid w:val="53E73A84"/>
    <w:rsid w:val="54491FDE"/>
    <w:rsid w:val="54A43723"/>
    <w:rsid w:val="54E56216"/>
    <w:rsid w:val="554F7B33"/>
    <w:rsid w:val="55676C2B"/>
    <w:rsid w:val="55A42FE1"/>
    <w:rsid w:val="5684380C"/>
    <w:rsid w:val="568E3043"/>
    <w:rsid w:val="56C409D0"/>
    <w:rsid w:val="56D03D7D"/>
    <w:rsid w:val="56D24578"/>
    <w:rsid w:val="571B7CCD"/>
    <w:rsid w:val="576A3305"/>
    <w:rsid w:val="576C677A"/>
    <w:rsid w:val="576F626A"/>
    <w:rsid w:val="579923B0"/>
    <w:rsid w:val="57A44166"/>
    <w:rsid w:val="57C2283E"/>
    <w:rsid w:val="58020E8D"/>
    <w:rsid w:val="583D72F0"/>
    <w:rsid w:val="58DD0FB2"/>
    <w:rsid w:val="592E180D"/>
    <w:rsid w:val="59442F30"/>
    <w:rsid w:val="596B0920"/>
    <w:rsid w:val="59944238"/>
    <w:rsid w:val="59D2663D"/>
    <w:rsid w:val="59E30E53"/>
    <w:rsid w:val="59FE06FB"/>
    <w:rsid w:val="5A2B512E"/>
    <w:rsid w:val="5A47702B"/>
    <w:rsid w:val="5A7140A7"/>
    <w:rsid w:val="5AB3021C"/>
    <w:rsid w:val="5AC27E15"/>
    <w:rsid w:val="5B1B069A"/>
    <w:rsid w:val="5BCF3F2F"/>
    <w:rsid w:val="5BCF508C"/>
    <w:rsid w:val="5BED775E"/>
    <w:rsid w:val="5BFA1563"/>
    <w:rsid w:val="5C001B87"/>
    <w:rsid w:val="5C237623"/>
    <w:rsid w:val="5C256E88"/>
    <w:rsid w:val="5C4C0928"/>
    <w:rsid w:val="5C5E240A"/>
    <w:rsid w:val="5C757E7F"/>
    <w:rsid w:val="5D185E9D"/>
    <w:rsid w:val="5D2378DB"/>
    <w:rsid w:val="5D375134"/>
    <w:rsid w:val="5D7243BE"/>
    <w:rsid w:val="5DAA3B58"/>
    <w:rsid w:val="5E07324D"/>
    <w:rsid w:val="5E4F4700"/>
    <w:rsid w:val="5E541E91"/>
    <w:rsid w:val="5E564E88"/>
    <w:rsid w:val="5E824AD5"/>
    <w:rsid w:val="5EA306D2"/>
    <w:rsid w:val="5F394A09"/>
    <w:rsid w:val="5F4C7AD4"/>
    <w:rsid w:val="5F8276AB"/>
    <w:rsid w:val="5F947E34"/>
    <w:rsid w:val="5FA103C5"/>
    <w:rsid w:val="5FFA069B"/>
    <w:rsid w:val="600503C7"/>
    <w:rsid w:val="600B673E"/>
    <w:rsid w:val="601C6864"/>
    <w:rsid w:val="60575AEE"/>
    <w:rsid w:val="6074044E"/>
    <w:rsid w:val="607E64F0"/>
    <w:rsid w:val="60837FEB"/>
    <w:rsid w:val="60ED52BD"/>
    <w:rsid w:val="61007F33"/>
    <w:rsid w:val="610C5A2E"/>
    <w:rsid w:val="61534507"/>
    <w:rsid w:val="615F10FE"/>
    <w:rsid w:val="61646714"/>
    <w:rsid w:val="61860438"/>
    <w:rsid w:val="620D44CC"/>
    <w:rsid w:val="62145252"/>
    <w:rsid w:val="621D3F2C"/>
    <w:rsid w:val="626764BC"/>
    <w:rsid w:val="6287090C"/>
    <w:rsid w:val="62AE2B23"/>
    <w:rsid w:val="62C47C8A"/>
    <w:rsid w:val="62D82F16"/>
    <w:rsid w:val="62E00FBF"/>
    <w:rsid w:val="638E5CCA"/>
    <w:rsid w:val="639A5AE0"/>
    <w:rsid w:val="63C246B8"/>
    <w:rsid w:val="63C57949"/>
    <w:rsid w:val="643B7C00"/>
    <w:rsid w:val="648F3AA8"/>
    <w:rsid w:val="64DB4C47"/>
    <w:rsid w:val="65066E2E"/>
    <w:rsid w:val="65566374"/>
    <w:rsid w:val="65DF0A5F"/>
    <w:rsid w:val="65E87914"/>
    <w:rsid w:val="66432D9C"/>
    <w:rsid w:val="66455734"/>
    <w:rsid w:val="66630D48"/>
    <w:rsid w:val="67226E55"/>
    <w:rsid w:val="67241AA7"/>
    <w:rsid w:val="672A3F5C"/>
    <w:rsid w:val="673774CB"/>
    <w:rsid w:val="67DD2D7C"/>
    <w:rsid w:val="67F73E3E"/>
    <w:rsid w:val="6838538E"/>
    <w:rsid w:val="68B82A0E"/>
    <w:rsid w:val="68FE4BA7"/>
    <w:rsid w:val="68FF3F18"/>
    <w:rsid w:val="695452C0"/>
    <w:rsid w:val="69E8517D"/>
    <w:rsid w:val="69F36887"/>
    <w:rsid w:val="69F60125"/>
    <w:rsid w:val="6A6B466F"/>
    <w:rsid w:val="6A8B30C1"/>
    <w:rsid w:val="6ACB2A98"/>
    <w:rsid w:val="6ACE58A4"/>
    <w:rsid w:val="6B321631"/>
    <w:rsid w:val="6B5F54AE"/>
    <w:rsid w:val="6B6130A0"/>
    <w:rsid w:val="6BB44ED4"/>
    <w:rsid w:val="6BCF1867"/>
    <w:rsid w:val="6C5B42FE"/>
    <w:rsid w:val="6CA331A0"/>
    <w:rsid w:val="6CA976D1"/>
    <w:rsid w:val="6CEE3336"/>
    <w:rsid w:val="6D1D230C"/>
    <w:rsid w:val="6D323B6A"/>
    <w:rsid w:val="6D836174"/>
    <w:rsid w:val="6DBD51C9"/>
    <w:rsid w:val="6DC5053A"/>
    <w:rsid w:val="6DD020E1"/>
    <w:rsid w:val="6DEA7FA1"/>
    <w:rsid w:val="6E381E17"/>
    <w:rsid w:val="6E4D5C73"/>
    <w:rsid w:val="6E502D20"/>
    <w:rsid w:val="6E587601"/>
    <w:rsid w:val="6E9B4894"/>
    <w:rsid w:val="6ECB7DD2"/>
    <w:rsid w:val="6EE91ECE"/>
    <w:rsid w:val="6F10666A"/>
    <w:rsid w:val="6F811AC9"/>
    <w:rsid w:val="700B64D5"/>
    <w:rsid w:val="70131A31"/>
    <w:rsid w:val="70141305"/>
    <w:rsid w:val="707D6EAA"/>
    <w:rsid w:val="70974410"/>
    <w:rsid w:val="70E707C8"/>
    <w:rsid w:val="70F03B20"/>
    <w:rsid w:val="712A5284"/>
    <w:rsid w:val="71306613"/>
    <w:rsid w:val="715F2A54"/>
    <w:rsid w:val="717E2EDA"/>
    <w:rsid w:val="71AB7A47"/>
    <w:rsid w:val="72235B14"/>
    <w:rsid w:val="728D259C"/>
    <w:rsid w:val="72A9667D"/>
    <w:rsid w:val="72B3358B"/>
    <w:rsid w:val="72B6712F"/>
    <w:rsid w:val="72CE60E3"/>
    <w:rsid w:val="72ED78CA"/>
    <w:rsid w:val="72FB2495"/>
    <w:rsid w:val="730E3E44"/>
    <w:rsid w:val="730E4732"/>
    <w:rsid w:val="73155AC0"/>
    <w:rsid w:val="732301DD"/>
    <w:rsid w:val="733A6CBD"/>
    <w:rsid w:val="738F0591"/>
    <w:rsid w:val="73C6500C"/>
    <w:rsid w:val="73C92407"/>
    <w:rsid w:val="73E223A7"/>
    <w:rsid w:val="73EF4563"/>
    <w:rsid w:val="740A6CA7"/>
    <w:rsid w:val="74176058"/>
    <w:rsid w:val="743106D8"/>
    <w:rsid w:val="7443172F"/>
    <w:rsid w:val="7463285B"/>
    <w:rsid w:val="74675EA7"/>
    <w:rsid w:val="748051BB"/>
    <w:rsid w:val="74B17A6A"/>
    <w:rsid w:val="74BB61F3"/>
    <w:rsid w:val="74CC3179"/>
    <w:rsid w:val="74E10D62"/>
    <w:rsid w:val="74F040EF"/>
    <w:rsid w:val="75063912"/>
    <w:rsid w:val="751D2A0A"/>
    <w:rsid w:val="754E0E15"/>
    <w:rsid w:val="757C2B81"/>
    <w:rsid w:val="75954C96"/>
    <w:rsid w:val="75DB4D9F"/>
    <w:rsid w:val="75EE3209"/>
    <w:rsid w:val="764346F2"/>
    <w:rsid w:val="76564834"/>
    <w:rsid w:val="76B949B4"/>
    <w:rsid w:val="76CD0666"/>
    <w:rsid w:val="76D8308D"/>
    <w:rsid w:val="76F105F2"/>
    <w:rsid w:val="779A2A38"/>
    <w:rsid w:val="77A86B78"/>
    <w:rsid w:val="78006D3F"/>
    <w:rsid w:val="78810970"/>
    <w:rsid w:val="78A62DB4"/>
    <w:rsid w:val="78F9553C"/>
    <w:rsid w:val="79517126"/>
    <w:rsid w:val="7973709D"/>
    <w:rsid w:val="79AF5B6F"/>
    <w:rsid w:val="79B17BC5"/>
    <w:rsid w:val="79CC49FF"/>
    <w:rsid w:val="7A1E3999"/>
    <w:rsid w:val="7A434CC1"/>
    <w:rsid w:val="7A7A445B"/>
    <w:rsid w:val="7AE8798A"/>
    <w:rsid w:val="7B95154C"/>
    <w:rsid w:val="7BBD6CF5"/>
    <w:rsid w:val="7BF46E3B"/>
    <w:rsid w:val="7C53208D"/>
    <w:rsid w:val="7C7C44BA"/>
    <w:rsid w:val="7C8617DD"/>
    <w:rsid w:val="7CA659DB"/>
    <w:rsid w:val="7CB77BE8"/>
    <w:rsid w:val="7DA95783"/>
    <w:rsid w:val="7DD87E16"/>
    <w:rsid w:val="7DFF1847"/>
    <w:rsid w:val="7E030AED"/>
    <w:rsid w:val="7E357629"/>
    <w:rsid w:val="7E4436FD"/>
    <w:rsid w:val="7E6701D1"/>
    <w:rsid w:val="7E7F4735"/>
    <w:rsid w:val="7E9E2E0E"/>
    <w:rsid w:val="7ECA758D"/>
    <w:rsid w:val="7EE747B5"/>
    <w:rsid w:val="7F67412D"/>
    <w:rsid w:val="7F6F6188"/>
    <w:rsid w:val="7F73429A"/>
    <w:rsid w:val="7FD30895"/>
    <w:rsid w:val="7FF32CE5"/>
    <w:rsid w:val="7FF8479F"/>
    <w:rsid w:val="BFDFACC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annotation text"/>
    <w:qFormat/>
    <w:uiPriority w:val="0"/>
    <w:pPr>
      <w:widowControl w:val="0"/>
      <w:jc w:val="left"/>
    </w:pPr>
    <w:rPr>
      <w:rFonts w:ascii="Times New Roman" w:hAnsi="Times New Roman" w:eastAsia="宋体" w:cs="Times New Roman"/>
      <w:kern w:val="2"/>
      <w:sz w:val="21"/>
      <w:szCs w:val="24"/>
      <w:lang w:val="en-US" w:eastAsia="zh-CN" w:bidi="ar-SA"/>
    </w:rPr>
  </w:style>
  <w:style w:type="paragraph" w:styleId="4">
    <w:name w:val="Body Text"/>
    <w:basedOn w:val="1"/>
    <w:semiHidden/>
    <w:qFormat/>
    <w:uiPriority w:val="0"/>
    <w:rPr>
      <w:rFonts w:ascii="宋体" w:hAnsi="宋体" w:eastAsia="宋体" w:cs="宋体"/>
      <w:sz w:val="22"/>
      <w:szCs w:val="22"/>
      <w:lang w:val="en-US" w:eastAsia="en-US" w:bidi="ar-SA"/>
    </w:rPr>
  </w:style>
  <w:style w:type="paragraph" w:styleId="5">
    <w:name w:val="Plain Text"/>
    <w:basedOn w:val="1"/>
    <w:qFormat/>
    <w:uiPriority w:val="0"/>
    <w:rPr>
      <w:rFonts w:ascii="宋体" w:hAnsi="Courier New" w:cs="Courier New"/>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99"/>
    <w:pPr>
      <w:widowControl/>
      <w:spacing w:before="100" w:beforeAutospacing="1" w:after="100" w:afterAutospacing="1"/>
      <w:jc w:val="left"/>
    </w:pPr>
    <w:rPr>
      <w:rFonts w:ascii="宋体" w:hAnsi="宋体"/>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Table Text"/>
    <w:basedOn w:val="1"/>
    <w:semiHidden/>
    <w:qFormat/>
    <w:uiPriority w:val="0"/>
    <w:rPr>
      <w:rFonts w:ascii="宋体" w:hAnsi="宋体" w:eastAsia="宋体" w:cs="宋体"/>
      <w:sz w:val="22"/>
      <w:szCs w:val="22"/>
      <w:lang w:val="en-US" w:eastAsia="en-US" w:bidi="ar-SA"/>
    </w:rPr>
  </w:style>
  <w:style w:type="table" w:customStyle="1" w:styleId="13">
    <w:name w:val="Table Normal"/>
    <w:semiHidden/>
    <w:unhideWhenUsed/>
    <w:qFormat/>
    <w:uiPriority w:val="0"/>
    <w:tblPr>
      <w:tblCellMar>
        <w:top w:w="0" w:type="dxa"/>
        <w:left w:w="0" w:type="dxa"/>
        <w:bottom w:w="0" w:type="dxa"/>
        <w:right w:w="0" w:type="dxa"/>
      </w:tblCellMar>
    </w:tblPr>
  </w:style>
  <w:style w:type="character" w:customStyle="1" w:styleId="14">
    <w:name w:val="font31"/>
    <w:basedOn w:val="11"/>
    <w:qFormat/>
    <w:uiPriority w:val="0"/>
    <w:rPr>
      <w:rFonts w:hint="eastAsia" w:ascii="宋体" w:hAnsi="宋体" w:eastAsia="宋体" w:cs="宋体"/>
      <w:color w:val="000000"/>
      <w:sz w:val="22"/>
      <w:szCs w:val="22"/>
      <w:u w:val="none"/>
    </w:rPr>
  </w:style>
  <w:style w:type="character" w:customStyle="1" w:styleId="15">
    <w:name w:val="font41"/>
    <w:basedOn w:val="11"/>
    <w:qFormat/>
    <w:uiPriority w:val="0"/>
    <w:rPr>
      <w:rFonts w:hint="eastAsia" w:ascii="宋体" w:hAnsi="宋体" w:eastAsia="宋体" w:cs="宋体"/>
      <w:b/>
      <w:bCs/>
      <w:color w:val="000000"/>
      <w:sz w:val="22"/>
      <w:szCs w:val="22"/>
      <w:u w:val="none"/>
    </w:rPr>
  </w:style>
  <w:style w:type="character" w:customStyle="1" w:styleId="16">
    <w:name w:val="font21"/>
    <w:basedOn w:val="11"/>
    <w:qFormat/>
    <w:uiPriority w:val="0"/>
    <w:rPr>
      <w:rFonts w:hint="eastAsia" w:ascii="宋体" w:hAnsi="宋体" w:eastAsia="宋体" w:cs="宋体"/>
      <w:color w:val="000000"/>
      <w:sz w:val="22"/>
      <w:szCs w:val="22"/>
      <w:u w:val="none"/>
    </w:rPr>
  </w:style>
  <w:style w:type="character" w:customStyle="1" w:styleId="17">
    <w:name w:val="font81"/>
    <w:basedOn w:val="11"/>
    <w:qFormat/>
    <w:uiPriority w:val="0"/>
    <w:rPr>
      <w:rFonts w:hint="eastAsia" w:ascii="宋体" w:hAnsi="宋体" w:eastAsia="宋体" w:cs="宋体"/>
      <w:b/>
      <w:bCs/>
      <w:color w:val="000000"/>
      <w:sz w:val="22"/>
      <w:szCs w:val="22"/>
      <w:u w:val="none"/>
    </w:rPr>
  </w:style>
  <w:style w:type="character" w:customStyle="1" w:styleId="18">
    <w:name w:val="font61"/>
    <w:basedOn w:val="11"/>
    <w:qFormat/>
    <w:uiPriority w:val="0"/>
    <w:rPr>
      <w:rFonts w:hint="eastAsia" w:ascii="宋体" w:hAnsi="宋体" w:eastAsia="宋体" w:cs="宋体"/>
      <w:color w:val="FF0000"/>
      <w:sz w:val="22"/>
      <w:szCs w:val="22"/>
      <w:u w:val="none"/>
    </w:rPr>
  </w:style>
  <w:style w:type="character" w:customStyle="1" w:styleId="19">
    <w:name w:val="font01"/>
    <w:basedOn w:val="11"/>
    <w:qFormat/>
    <w:uiPriority w:val="0"/>
    <w:rPr>
      <w:rFonts w:hint="eastAsia" w:ascii="宋体" w:hAnsi="宋体" w:eastAsia="宋体" w:cs="宋体"/>
      <w:color w:val="000000"/>
      <w:sz w:val="22"/>
      <w:szCs w:val="22"/>
      <w:u w:val="none"/>
    </w:rPr>
  </w:style>
  <w:style w:type="character" w:customStyle="1" w:styleId="20">
    <w:name w:val="font91"/>
    <w:basedOn w:val="11"/>
    <w:qFormat/>
    <w:uiPriority w:val="0"/>
    <w:rPr>
      <w:rFonts w:hint="eastAsia" w:ascii="宋体" w:hAnsi="宋体" w:eastAsia="宋体" w:cs="宋体"/>
      <w:strike/>
      <w:color w:val="000000"/>
      <w:sz w:val="22"/>
      <w:szCs w:val="22"/>
    </w:rPr>
  </w:style>
  <w:style w:type="character" w:customStyle="1" w:styleId="21">
    <w:name w:val="font101"/>
    <w:basedOn w:val="11"/>
    <w:qFormat/>
    <w:uiPriority w:val="0"/>
    <w:rPr>
      <w:rFonts w:hint="eastAsia" w:ascii="宋体" w:hAnsi="宋体" w:eastAsia="宋体" w:cs="宋体"/>
      <w:strike/>
      <w:color w:val="FF0000"/>
      <w:sz w:val="22"/>
      <w:szCs w:val="22"/>
    </w:rPr>
  </w:style>
  <w:style w:type="character" w:customStyle="1" w:styleId="22">
    <w:name w:val="font71"/>
    <w:basedOn w:val="11"/>
    <w:qFormat/>
    <w:uiPriority w:val="0"/>
    <w:rPr>
      <w:rFonts w:hint="eastAsia" w:ascii="宋体" w:hAnsi="宋体" w:eastAsia="宋体" w:cs="宋体"/>
      <w:color w:val="FF0000"/>
      <w:sz w:val="22"/>
      <w:szCs w:val="22"/>
      <w:u w:val="none"/>
    </w:rPr>
  </w:style>
  <w:style w:type="character" w:customStyle="1" w:styleId="23">
    <w:name w:val="font11"/>
    <w:basedOn w:val="11"/>
    <w:qFormat/>
    <w:uiPriority w:val="0"/>
    <w:rPr>
      <w:rFonts w:hint="eastAsia" w:ascii="宋体" w:hAnsi="宋体" w:eastAsia="宋体" w:cs="宋体"/>
      <w:color w:val="000000"/>
      <w:sz w:val="22"/>
      <w:szCs w:val="22"/>
      <w:u w:val="none"/>
    </w:rPr>
  </w:style>
  <w:style w:type="character" w:customStyle="1" w:styleId="24">
    <w:name w:val="font51"/>
    <w:basedOn w:val="11"/>
    <w:qFormat/>
    <w:uiPriority w:val="0"/>
    <w:rPr>
      <w:rFonts w:hint="eastAsia" w:ascii="宋体" w:hAnsi="宋体" w:eastAsia="宋体" w:cs="宋体"/>
      <w:color w:val="FF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Pages>
  <Words>7372</Words>
  <Characters>7641</Characters>
  <Lines>0</Lines>
  <Paragraphs>0</Paragraphs>
  <TotalTime>13</TotalTime>
  <ScaleCrop>false</ScaleCrop>
  <LinksUpToDate>false</LinksUpToDate>
  <CharactersWithSpaces>7669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2025-09-03T17:06:00Z</dcterms:created>
  <dc:creator>Administrator</dc:creator>
  <cp:lastModifiedBy>YXZB</cp:lastModifiedBy>
  <dcterms:modified xsi:type="dcterms:W3CDTF">2026-04-08T07:14:13Z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eyJoZGlkIjoiMWNkNWU1MTc3ZDQ5ZmI1MzA3NGU2NTQzMjcwNjNlYjYiLCJ1c2VySWQiOiI3MjI0MjIxMDgifQ==</vt:lpwstr>
  </property>
  <property fmtid="{D5CDD505-2E9C-101B-9397-08002B2CF9AE}" pid="4" name="ICV">
    <vt:lpwstr>0229A6468CC346F4A50925FC8C955204_12</vt:lpwstr>
  </property>
</Properties>
</file>