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237B">
      <w:pPr>
        <w:spacing w:line="360" w:lineRule="auto"/>
        <w:jc w:val="center"/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聘请三方会计师事务所审计社区的采购需求</w:t>
      </w:r>
    </w:p>
    <w:p w14:paraId="0FB5460A">
      <w:pPr>
        <w:pStyle w:val="30"/>
        <w:numPr>
          <w:ilvl w:val="0"/>
          <w:numId w:val="1"/>
        </w:numPr>
        <w:spacing w:line="360" w:lineRule="auto"/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采购基本信息</w:t>
      </w:r>
    </w:p>
    <w:p w14:paraId="4C54C6C4">
      <w:pPr>
        <w:numPr>
          <w:ilvl w:val="0"/>
          <w:numId w:val="2"/>
        </w:numPr>
        <w:spacing w:line="360" w:lineRule="auto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采购项目基本情况：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聘请一家会计事务所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,对与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我院合作的两家社区医院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的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财务收支、资产负债等财务情况进行审计。两家社区医院基本情况详见附件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1和附件2。</w:t>
      </w:r>
    </w:p>
    <w:p w14:paraId="2D64DF3D">
      <w:pPr>
        <w:numPr>
          <w:ilvl w:val="0"/>
          <w:numId w:val="2"/>
        </w:numPr>
        <w:spacing w:line="360" w:lineRule="auto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采购预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算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含税价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：人民币柒万元整（¥70,000.00）。</w:t>
      </w:r>
    </w:p>
    <w:p w14:paraId="1C2A65B8">
      <w:pPr>
        <w:spacing w:line="360" w:lineRule="auto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（三）完成时限：__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2026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__年__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6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_月__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30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_日前完成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全部审计工作，并提交符合要求的正式审计报告及管理建议书。</w:t>
      </w:r>
    </w:p>
    <w:p w14:paraId="6F4E6B8A">
      <w:pPr>
        <w:spacing w:line="360" w:lineRule="auto"/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付款方式： 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会计师事务所提交合格的审计报告及管理建议书，经医院验收合格后，乙方开具合法有效的增值税发票，甲方在收到发票后2个月内一次性付清全部款项。</w:t>
      </w:r>
    </w:p>
    <w:p w14:paraId="207358A2">
      <w:pPr>
        <w:spacing w:line="360" w:lineRule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报价要求：报价需包含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完成本项目可能产生的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服务、人员、交通、差旅、材料、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税费等所有费用，为一次性包干价，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采购人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不再额外支付任何费用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。</w:t>
      </w:r>
    </w:p>
    <w:p w14:paraId="1796FA32">
      <w:pPr>
        <w:widowControl/>
        <w:spacing w:line="360" w:lineRule="auto"/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14:ligatures w14:val="none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二、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14:ligatures w14:val="none"/>
        </w:rPr>
        <w:t>采购内容及技术要求</w:t>
      </w:r>
    </w:p>
    <w:p w14:paraId="63CA1226">
      <w:pPr>
        <w:widowControl/>
        <w:spacing w:line="360" w:lineRule="auto"/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lang w:val="en-US" w:eastAsia="zh-CN"/>
          <w14:ligatures w14:val="none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0"/>
          <w:szCs w:val="30"/>
          <w:lang w:eastAsia="zh-CN"/>
          <w14:ligatures w14:val="none"/>
        </w:rPr>
        <w:t>（一）审计期间：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lang w:eastAsia="zh-CN"/>
          <w14:ligatures w14:val="none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lang w:val="en-US" w:eastAsia="zh-CN"/>
          <w14:ligatures w14:val="none"/>
        </w:rPr>
        <w:t>是否开始时间为社区中心成立的时间？）</w:t>
      </w:r>
    </w:p>
    <w:p w14:paraId="178C6765">
      <w:pPr>
        <w:widowControl/>
        <w:spacing w:line="360" w:lineRule="auto"/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0"/>
          <w:szCs w:val="30"/>
          <w:lang w:val="en-US" w:eastAsia="zh-CN"/>
          <w14:ligatures w14:val="none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0"/>
          <w:szCs w:val="30"/>
          <w:lang w:val="en-US" w:eastAsia="zh-CN"/>
          <w14:ligatures w14:val="none"/>
        </w:rPr>
        <w:t>1.社区医院一（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丹凤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社区卫生服务中心）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0"/>
          <w:szCs w:val="30"/>
          <w:lang w:val="en-US" w:eastAsia="zh-CN"/>
          <w14:ligatures w14:val="none"/>
        </w:rPr>
        <w:t>：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2022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年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3月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至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2025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年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12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月</w:t>
      </w:r>
    </w:p>
    <w:p w14:paraId="3F56939D">
      <w:pPr>
        <w:widowControl/>
        <w:spacing w:line="360" w:lineRule="auto"/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0"/>
          <w:szCs w:val="30"/>
          <w:lang w:val="en-US" w:eastAsia="zh-CN"/>
          <w14:ligatures w14:val="none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0"/>
          <w:szCs w:val="30"/>
          <w:lang w:val="en-US" w:eastAsia="zh-CN"/>
          <w14:ligatures w14:val="none"/>
        </w:rPr>
        <w:t>2.社区医院二（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恒安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社区卫生服务中心）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0"/>
          <w:szCs w:val="30"/>
          <w:lang w:val="en-US" w:eastAsia="zh-CN"/>
          <w14:ligatures w14:val="none"/>
        </w:rPr>
        <w:t>：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2024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年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月至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2025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年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12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月</w:t>
      </w:r>
    </w:p>
    <w:p w14:paraId="3AC506FB">
      <w:pPr>
        <w:widowControl/>
        <w:spacing w:after="0" w:line="360" w:lineRule="auto"/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</w:pP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eastAsia="zh-CN"/>
          <w14:ligatures w14:val="none"/>
        </w:rPr>
        <w:t>（二）服务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主要内容包括但不限于：</w:t>
      </w:r>
    </w:p>
    <w:p w14:paraId="7FBCDC56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1. 财务报告审计：审查资产负债表、收入费用表（业务活动费用/医疗收入）、现金流量表及净资产变动表的真实性、合法性、完整性。</w:t>
      </w:r>
    </w:p>
    <w:p w14:paraId="389858DE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2. 资产负债核实：核实资产（特别是药品、耗材、固定资产）、负债及净资产的实有数额，关注账实相符情况。</w:t>
      </w:r>
    </w:p>
    <w:p w14:paraId="4E974A2C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3. 专项资金检查：核查基本公共卫生服务项目补助资金等财政专项资金是否专款专用，是否存在截留、挤占、挪用的问题。</w:t>
      </w:r>
    </w:p>
    <w:p w14:paraId="097E0567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4. 内部控制评价：评价货币资金管理、采购与付款（药品/设备采购）、医疗服务收费、固定资产管理、合同管理等关键环节的内部控制设计合理性及执行有效性。</w:t>
      </w:r>
    </w:p>
    <w:p w14:paraId="76013FD8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5. 合规性检查：检查是否存在“小金库”、账外账，以及违反中央八项规定精神的支出。</w:t>
      </w:r>
    </w:p>
    <w:p w14:paraId="3A5CAC5F">
      <w:pPr>
        <w:widowControl/>
        <w:spacing w:before="100" w:beforeAutospacing="1" w:after="100" w:afterAutospacing="1" w:line="360" w:lineRule="auto"/>
        <w:outlineLvl w:val="1"/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14:ligatures w14:val="none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6. 管理建议：针对审计发现的问题，分析产生原因，提出切实可行、具有建设性的整改建议和风险提示。</w:t>
      </w:r>
    </w:p>
    <w:p w14:paraId="7D147B9B">
      <w:pPr>
        <w:widowControl/>
        <w:spacing w:before="100" w:beforeAutospacing="1" w:after="100" w:afterAutospacing="1" w:line="360" w:lineRule="auto"/>
        <w:outlineLvl w:val="1"/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lang w:eastAsia="zh-CN"/>
          <w14:ligatures w14:val="none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14:ligatures w14:val="none"/>
        </w:rPr>
        <w:t>三、服务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lang w:eastAsia="zh-CN"/>
          <w14:ligatures w14:val="none"/>
        </w:rPr>
        <w:t>要求</w:t>
      </w:r>
    </w:p>
    <w:p w14:paraId="15D6E3F8">
      <w:pPr>
        <w:widowControl/>
        <w:spacing w:after="0" w:line="360" w:lineRule="auto"/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</w:pP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1.需求响应：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中标单位在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接到甲方成交通知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书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后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3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_个工作日内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eastAsia="zh-CN"/>
          <w14:ligatures w14:val="none"/>
        </w:rPr>
        <w:t>，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必须与采购人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进行初步沟通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eastAsia="zh-CN"/>
          <w14:ligatures w14:val="none"/>
        </w:rPr>
        <w:t>，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确认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审计范围、时间安排等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细节。</w:t>
      </w:r>
    </w:p>
    <w:p w14:paraId="6FF461E7">
      <w:pPr>
        <w:widowControl/>
        <w:spacing w:after="0" w:line="360" w:lineRule="auto"/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</w:pP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2.现场勘查与方案：成交后____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7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__个工作日内，安排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项目负责人及主审会计师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进行现场勘查，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了解基本情况，并向采购人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提交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详细的实施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方案，经甲方书面确认后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:lang w:val="en-US" w:eastAsia="zh-CN"/>
          <w14:ligatures w14:val="none"/>
        </w:rPr>
        <w:t>方可进场实施</w:t>
      </w:r>
      <w:r>
        <w:rPr>
          <w:rFonts w:hint="eastAsia" w:ascii="方正楷体_GB2312" w:hAnsi="方正楷体_GB2312" w:eastAsia="方正楷体_GB2312" w:cs="方正楷体_GB2312"/>
          <w:kern w:val="0"/>
          <w:sz w:val="30"/>
          <w:szCs w:val="30"/>
          <w14:ligatures w14:val="none"/>
        </w:rPr>
        <w:t>。</w:t>
      </w:r>
    </w:p>
    <w:p w14:paraId="5B363DE9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3.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团队人员要求：</w:t>
      </w:r>
    </w:p>
    <w:p w14:paraId="38EF31FC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1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拟派项目负责人及签字注册会计师必须为中国注册会计师，且具有5年以上执业经验。</w:t>
      </w:r>
    </w:p>
    <w:p w14:paraId="18CE03CF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现场负责人须为注册会计师，现场审计人员中至少1人具有医疗机构审计或医疗卫生行业财务经验。</w:t>
      </w:r>
    </w:p>
    <w:p w14:paraId="6513956A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3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未经采购人书面同意，不得随意更换项目负责人及主审人员。</w:t>
      </w:r>
    </w:p>
    <w:p w14:paraId="5CBD08AE">
      <w:pP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4.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保密义务：成交单位及所有参与人员必须对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审计过程中知悉的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财务数据、患者信息、内部资料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严格保密，不得泄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露给任何第三方，也不能用于本合同目的以外的其他用途。须签订《保密承诺书》。</w:t>
      </w:r>
    </w:p>
    <w:p w14:paraId="5D4A7E35">
      <w:pP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4.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配合要求：出具报告后，需配合医院完成后续的整改对接、上级主管部门检查、审计资料归档等工作，提供必要的专业咨询。</w:t>
      </w:r>
    </w:p>
    <w:p w14:paraId="53C422B0">
      <w:pPr>
        <w:widowControl/>
        <w:spacing w:before="100" w:beforeAutospacing="1" w:after="100" w:afterAutospacing="1" w:line="360" w:lineRule="auto"/>
        <w:outlineLvl w:val="1"/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14:ligatures w14:val="none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14:ligatures w14:val="none"/>
        </w:rPr>
        <w:t>四、验收标准</w:t>
      </w:r>
    </w:p>
    <w:p w14:paraId="3CF01455">
      <w:pPr>
        <w:spacing w:line="360" w:lineRule="auto"/>
        <w:ind w:firstLine="600" w:firstLineChars="2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本项目验收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以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《中国注册会计师审计准则》、《医院财务制度》、《基层医疗卫生机构财务制度》及国家卫健委、审计厅等相关规定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为依据，按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采购需求及合同约定执行，确保无争议、可追溯，具体验收标准如下：</w:t>
      </w:r>
    </w:p>
    <w:p w14:paraId="61EF024A">
      <w:pPr>
        <w:numPr>
          <w:ilvl w:val="0"/>
          <w:numId w:val="0"/>
        </w:numPr>
        <w:spacing w:line="360" w:lineRule="auto"/>
        <w:ind w:firstLine="300" w:firstLineChars="1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1.成果交付清单：</w:t>
      </w:r>
    </w:p>
    <w:p w14:paraId="05D75304">
      <w:pPr>
        <w:numPr>
          <w:ilvl w:val="-1"/>
          <w:numId w:val="0"/>
        </w:numPr>
        <w:spacing w:line="360" w:lineRule="auto"/>
        <w:ind w:firstLine="300" w:firstLineChars="1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针对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每家社区医院单独出具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一套完整的审计成果，包含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：</w:t>
      </w:r>
    </w:p>
    <w:p w14:paraId="720A6B8F">
      <w:pPr>
        <w:numPr>
          <w:ilvl w:val="0"/>
          <w:numId w:val="3"/>
        </w:numPr>
        <w:spacing w:line="360" w:lineRule="auto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正式《财务收支审计报告》</w:t>
      </w:r>
    </w:p>
    <w:p w14:paraId="610A374B">
      <w:pPr>
        <w:numPr>
          <w:ilvl w:val="0"/>
          <w:numId w:val="3"/>
        </w:numPr>
        <w:spacing w:line="360" w:lineRule="auto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《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财务管理建议书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》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包含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问题清单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具体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整改建议 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潜在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风险提示）</w:t>
      </w:r>
    </w:p>
    <w:p w14:paraId="0ADCC7BE">
      <w:pPr>
        <w:numPr>
          <w:ilvl w:val="0"/>
          <w:numId w:val="3"/>
        </w:numPr>
        <w:spacing w:line="360" w:lineRule="auto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报告份数：纸质版 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4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份 + 电子版 1 份</w:t>
      </w:r>
    </w:p>
    <w:p w14:paraId="6C581F8B">
      <w:pPr>
        <w:numPr>
          <w:ilvl w:val="0"/>
          <w:numId w:val="0"/>
        </w:numPr>
        <w:spacing w:line="360" w:lineRule="auto"/>
        <w:ind w:firstLine="300" w:firstLineChars="1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质量要求：</w:t>
      </w:r>
    </w:p>
    <w:p w14:paraId="4E8089EF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证据充分：审计证据客观、相关、充分、合法。</w:t>
      </w:r>
    </w:p>
    <w:p w14:paraId="2E0933D7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定性准确：对问题的定性依据明确，符合现行财经法规。</w:t>
      </w:r>
    </w:p>
    <w:p w14:paraId="59C4A338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建议可落地：提出的建议结合基层医疗机构实际，具有可操作性。</w:t>
      </w:r>
    </w:p>
    <w:p w14:paraId="3A58B646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 格式规范：报告格式符合行业标准及采购人内部管理要求。</w:t>
      </w:r>
    </w:p>
    <w:p w14:paraId="27FB899B">
      <w:pPr>
        <w:spacing w:line="360" w:lineRule="auto"/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eastAsia="zh-CN"/>
        </w:rPr>
        <w:t>五</w:t>
      </w: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、</w:t>
      </w: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eastAsia="zh-CN"/>
        </w:rPr>
        <w:t>投标人资格</w:t>
      </w: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要求</w:t>
      </w:r>
    </w:p>
    <w:p w14:paraId="06E96EDC"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1.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基本资格：在中华人民共和国境内注册，具有独立法人资格，持有有效的营业执照。</w:t>
      </w:r>
    </w:p>
    <w:p w14:paraId="6398116C"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执业资质：持有财政部门颁发的《会计师事务所执业证书》，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且通过上年度年检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。</w:t>
      </w:r>
    </w:p>
    <w:p w14:paraId="3B7506B9"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3.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信誉要求：近三年内（自成立之日起）在经营活动中没有重大违法记录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未被列入“信用中国”网站失信被执行人、重大税收违法案件当事人名单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和中国政府采购网的“政府采购严重违法失信行为记录名单”。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未受到过财政部门或行业协会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给予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的行政处罚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或行业惩戒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。</w:t>
      </w:r>
    </w:p>
    <w:p w14:paraId="078271C2"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4.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业绩要求：近三年内至少承接过 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个医疗机构（医院或社区卫生服务中心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的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财务审计项目（需提供合同复印件佐证）。</w:t>
      </w:r>
    </w:p>
    <w:p w14:paraId="53A2006F"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5.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联合体投标：本项目 不接受联合体投标。</w:t>
      </w:r>
    </w:p>
    <w:p w14:paraId="3B5D8284"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6.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回避条款：与两家被审计社区医院存在关联关系（如代理记账、财务咨询、利益输送等）的会计师事务所，不得参与本次投标。</w:t>
      </w:r>
    </w:p>
    <w:p w14:paraId="4C12DE64">
      <w:pPr>
        <w:spacing w:line="360" w:lineRule="auto"/>
        <w:rPr>
          <w:rFonts w:hint="default" w:ascii="华文楷体" w:hAnsi="华文楷体" w:eastAsia="华文楷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C9B93E3-87F3-4E64-B20E-F37649B3DAF7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582111D4-86CB-42FC-8A8D-C931A3CD3314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C98C8"/>
    <w:multiLevelType w:val="singleLevel"/>
    <w:tmpl w:val="C1EC98C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DAE3AAB"/>
    <w:multiLevelType w:val="singleLevel"/>
    <w:tmpl w:val="CDAE3AA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E1E282B"/>
    <w:multiLevelType w:val="multilevel"/>
    <w:tmpl w:val="1E1E282B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E8"/>
    <w:rsid w:val="002A317E"/>
    <w:rsid w:val="00A23FE8"/>
    <w:rsid w:val="00D01C27"/>
    <w:rsid w:val="00F13EF7"/>
    <w:rsid w:val="00F1787E"/>
    <w:rsid w:val="39034F34"/>
    <w:rsid w:val="390F7BF0"/>
    <w:rsid w:val="3A4402B5"/>
    <w:rsid w:val="46E36224"/>
    <w:rsid w:val="53347240"/>
    <w:rsid w:val="614F5616"/>
    <w:rsid w:val="6BCE1D21"/>
    <w:rsid w:val="70273AD3"/>
    <w:rsid w:val="7D30621C"/>
    <w:rsid w:val="7EB3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ace-line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1774</Words>
  <Characters>1839</Characters>
  <Lines>12</Lines>
  <Paragraphs>3</Paragraphs>
  <TotalTime>23</TotalTime>
  <ScaleCrop>false</ScaleCrop>
  <LinksUpToDate>false</LinksUpToDate>
  <CharactersWithSpaces>1875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2026-03-08T08:38:00Z</dcterms:created>
  <dc:creator>8615007719032</dc:creator>
  <cp:lastModifiedBy>落枕</cp:lastModifiedBy>
  <dcterms:modified xsi:type="dcterms:W3CDTF">2026-03-24T08:48:36Z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eyJoZGlkIjoiMGQ5M2FmM2RmNGUwOTA5MGYwYmMwZTM5ZTAzN2EyNWYiLCJ1c2VySWQiOiIxMjUyMTA0MzI4In0=</vt:lpwstr>
  </property>
  <property fmtid="{D5CDD505-2E9C-101B-9397-08002B2CF9AE}" pid="3" name="KSOProductBuildVer">
    <vt:lpwstr>2052-12.1.0.25225</vt:lpwstr>
  </property>
  <property fmtid="{D5CDD505-2E9C-101B-9397-08002B2CF9AE}" pid="4" name="ICV">
    <vt:lpwstr>F37CCD90B3D041A7B43EDF09823B7BF5_12</vt:lpwstr>
  </property>
</Properties>
</file>