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11FC3">
      <w:pPr>
        <w:spacing w:line="240" w:lineRule="exact"/>
        <w:jc w:val="right"/>
        <w:rPr>
          <w:rFonts w:ascii="仿宋_GB2312" w:eastAsia="仿宋_GB2312"/>
          <w:bCs/>
          <w:color w:val="auto"/>
          <w:sz w:val="24"/>
        </w:rPr>
      </w:pPr>
      <w:r>
        <w:rPr>
          <w:rFonts w:hint="eastAsia" w:ascii="仿宋_GB2312" w:eastAsia="仿宋_GB2312"/>
          <w:bCs/>
          <w:color w:val="auto"/>
          <w:sz w:val="24"/>
        </w:rPr>
        <w:t xml:space="preserve">    </w:t>
      </w:r>
    </w:p>
    <w:p w14:paraId="58102572">
      <w:pPr>
        <w:spacing w:line="240" w:lineRule="exact"/>
        <w:jc w:val="right"/>
        <w:rPr>
          <w:rFonts w:ascii="仿宋_GB2312" w:eastAsia="仿宋_GB2312"/>
          <w:bCs/>
          <w:color w:val="auto"/>
          <w:sz w:val="24"/>
        </w:rPr>
      </w:pPr>
      <w:bookmarkStart w:id="0" w:name="EBe0f98a8883bb4c0f8727189d297729a6"/>
      <w:r>
        <w:rPr>
          <w:rFonts w:hint="eastAsia" w:ascii="仿宋_GB2312" w:eastAsia="仿宋_GB2312"/>
          <w:bCs/>
          <w:color w:val="auto"/>
          <w:sz w:val="20"/>
        </w:rPr>
        <w:t xml:space="preserve"> </w:t>
      </w:r>
      <w:bookmarkEnd w:id="0"/>
    </w:p>
    <w:p w14:paraId="396DA088">
      <w:pPr>
        <w:pStyle w:val="2"/>
        <w:widowControl/>
        <w:shd w:val="clear" w:color="auto" w:fill="FFFFFF"/>
        <w:spacing w:after="210" w:line="21" w:lineRule="atLeast"/>
        <w:ind w:left="3663" w:leftChars="1" w:hanging="3661" w:hangingChars="970"/>
        <w:jc w:val="center"/>
        <w:rPr>
          <w:rFonts w:ascii="黑体" w:hAnsi="黑体" w:eastAsia="黑体" w:cs="黑体"/>
          <w:color w:val="auto"/>
          <w:spacing w:val="8"/>
          <w:sz w:val="36"/>
          <w:szCs w:val="36"/>
          <w:shd w:val="clear" w:color="auto" w:fill="FFFFFF"/>
        </w:rPr>
      </w:pPr>
      <w:r>
        <w:rPr>
          <w:rFonts w:hint="eastAsia" w:ascii="黑体" w:hAnsi="黑体" w:eastAsia="黑体" w:cs="黑体"/>
          <w:color w:val="auto"/>
          <w:spacing w:val="8"/>
          <w:sz w:val="36"/>
          <w:szCs w:val="36"/>
          <w:shd w:val="clear" w:color="auto" w:fill="FFFFFF"/>
        </w:rPr>
        <w:t>2026年度丰城新城投建工集团有限公司</w:t>
      </w:r>
    </w:p>
    <w:p w14:paraId="659EC4D3">
      <w:pPr>
        <w:pStyle w:val="2"/>
        <w:widowControl/>
        <w:shd w:val="clear" w:color="auto" w:fill="FFFFFF"/>
        <w:spacing w:after="210" w:line="21" w:lineRule="atLeast"/>
        <w:ind w:left="3663" w:leftChars="1" w:hanging="3661" w:hangingChars="970"/>
        <w:jc w:val="center"/>
        <w:rPr>
          <w:rFonts w:ascii="黑体" w:hAnsi="黑体" w:eastAsia="黑体" w:cs="黑体"/>
          <w:color w:val="auto"/>
          <w:spacing w:val="8"/>
          <w:sz w:val="36"/>
          <w:szCs w:val="36"/>
          <w:shd w:val="clear" w:color="auto" w:fill="FFFFFF"/>
        </w:rPr>
      </w:pPr>
      <w:r>
        <w:rPr>
          <w:rFonts w:hint="eastAsia" w:ascii="黑体" w:hAnsi="黑体" w:eastAsia="黑体" w:cs="黑体"/>
          <w:color w:val="auto"/>
          <w:spacing w:val="8"/>
          <w:sz w:val="36"/>
          <w:szCs w:val="36"/>
          <w:shd w:val="clear" w:color="auto" w:fill="FFFFFF"/>
        </w:rPr>
        <w:t>专业工程施工承包企业入驻</w:t>
      </w:r>
    </w:p>
    <w:p w14:paraId="4F907767">
      <w:pPr>
        <w:rPr>
          <w:color w:val="auto"/>
        </w:rPr>
      </w:pPr>
    </w:p>
    <w:p w14:paraId="0C891AE8">
      <w:pPr>
        <w:pStyle w:val="36"/>
        <w:ind w:firstLine="280"/>
        <w:rPr>
          <w:color w:val="auto"/>
        </w:rPr>
      </w:pPr>
    </w:p>
    <w:p w14:paraId="08E68780">
      <w:pPr>
        <w:spacing w:line="900" w:lineRule="exact"/>
        <w:jc w:val="center"/>
        <w:rPr>
          <w:b/>
          <w:color w:val="auto"/>
          <w:sz w:val="72"/>
          <w:szCs w:val="72"/>
        </w:rPr>
      </w:pPr>
      <w:r>
        <w:rPr>
          <w:rFonts w:hint="eastAsia"/>
          <w:b/>
          <w:color w:val="auto"/>
          <w:sz w:val="72"/>
          <w:szCs w:val="72"/>
        </w:rPr>
        <w:t>资格审查文件</w:t>
      </w:r>
    </w:p>
    <w:p w14:paraId="4AA12923">
      <w:pPr>
        <w:jc w:val="center"/>
        <w:rPr>
          <w:rFonts w:ascii="宋体" w:hAnsi="宋体"/>
          <w:color w:val="auto"/>
          <w:sz w:val="24"/>
          <w:szCs w:val="24"/>
        </w:rPr>
      </w:pPr>
    </w:p>
    <w:p w14:paraId="370B06FF">
      <w:pPr>
        <w:ind w:firstLine="280" w:firstLineChars="100"/>
        <w:rPr>
          <w:rFonts w:ascii="新宋体" w:hAnsi="新宋体" w:eastAsia="新宋体" w:cs="Arial"/>
          <w:color w:val="auto"/>
          <w:sz w:val="28"/>
          <w:szCs w:val="28"/>
        </w:rPr>
      </w:pPr>
    </w:p>
    <w:p w14:paraId="4B1479CE">
      <w:pPr>
        <w:rPr>
          <w:color w:val="auto"/>
          <w:sz w:val="44"/>
          <w:szCs w:val="44"/>
        </w:rPr>
      </w:pPr>
    </w:p>
    <w:p w14:paraId="723AB733">
      <w:pPr>
        <w:pStyle w:val="2"/>
        <w:widowControl/>
        <w:shd w:val="clear" w:color="auto" w:fill="FFFFFF"/>
        <w:spacing w:after="210" w:line="21" w:lineRule="atLeast"/>
        <w:rPr>
          <w:rFonts w:ascii="宋体" w:hAnsi="宋体"/>
          <w:color w:val="auto"/>
          <w:sz w:val="24"/>
          <w:szCs w:val="24"/>
          <w:u w:val="single"/>
        </w:rPr>
      </w:pPr>
      <w:r>
        <w:rPr>
          <w:rFonts w:hint="eastAsia"/>
          <w:b w:val="0"/>
          <w:bCs/>
          <w:color w:val="auto"/>
          <w:spacing w:val="86"/>
          <w:kern w:val="0"/>
          <w:sz w:val="32"/>
          <w:szCs w:val="32"/>
          <w:fitText w:val="1800" w:id="1707770368"/>
        </w:rPr>
        <w:t>招标项</w:t>
      </w:r>
      <w:r>
        <w:rPr>
          <w:rFonts w:hint="eastAsia"/>
          <w:b w:val="0"/>
          <w:bCs/>
          <w:color w:val="auto"/>
          <w:spacing w:val="2"/>
          <w:kern w:val="0"/>
          <w:sz w:val="32"/>
          <w:szCs w:val="32"/>
          <w:fitText w:val="1800" w:id="1707770368"/>
        </w:rPr>
        <w:t>目</w:t>
      </w:r>
      <w:r>
        <w:rPr>
          <w:rFonts w:hint="eastAsia"/>
          <w:b w:val="0"/>
          <w:bCs/>
          <w:color w:val="auto"/>
          <w:sz w:val="32"/>
          <w:szCs w:val="32"/>
        </w:rPr>
        <w:t>：</w:t>
      </w:r>
      <w:r>
        <w:rPr>
          <w:rFonts w:hint="eastAsia" w:ascii="Calibri" w:hAnsi="Calibri"/>
          <w:b w:val="0"/>
          <w:color w:val="auto"/>
          <w:kern w:val="0"/>
          <w:sz w:val="32"/>
          <w:szCs w:val="32"/>
          <w:u w:val="single"/>
        </w:rPr>
        <w:t>2026年度丰城新城投建工集团有限公司专业工程施工承包企业入驻</w:t>
      </w:r>
    </w:p>
    <w:p w14:paraId="22AC8DFA">
      <w:pPr>
        <w:ind w:left="1080" w:hanging="1080" w:hangingChars="450"/>
        <w:rPr>
          <w:color w:val="auto"/>
          <w:sz w:val="24"/>
          <w:szCs w:val="24"/>
          <w:u w:val="single"/>
        </w:rPr>
      </w:pPr>
    </w:p>
    <w:p w14:paraId="6B8AADD5">
      <w:pPr>
        <w:rPr>
          <w:color w:val="auto"/>
          <w:sz w:val="36"/>
          <w:szCs w:val="36"/>
        </w:rPr>
      </w:pPr>
      <w:r>
        <w:rPr>
          <w:rFonts w:hint="eastAsia"/>
          <w:color w:val="auto"/>
          <w:kern w:val="0"/>
          <w:sz w:val="32"/>
          <w:szCs w:val="32"/>
        </w:rPr>
        <w:t>邀请方</w:t>
      </w:r>
      <w:r>
        <w:rPr>
          <w:rFonts w:hint="eastAsia"/>
          <w:color w:val="auto"/>
          <w:sz w:val="32"/>
          <w:szCs w:val="32"/>
        </w:rPr>
        <w:t>：</w:t>
      </w:r>
      <w:r>
        <w:rPr>
          <w:rFonts w:hint="eastAsia" w:ascii="宋体" w:hAnsi="宋体" w:cs="宋体"/>
          <w:color w:val="auto"/>
          <w:sz w:val="28"/>
          <w:szCs w:val="28"/>
          <w:u w:val="single"/>
        </w:rPr>
        <w:t xml:space="preserve">    </w:t>
      </w:r>
      <w:r>
        <w:rPr>
          <w:rFonts w:hint="eastAsia" w:ascii="宋体" w:hAnsi="宋体" w:cs="宋体"/>
          <w:color w:val="auto"/>
          <w:sz w:val="32"/>
          <w:szCs w:val="32"/>
          <w:u w:val="single"/>
        </w:rPr>
        <w:t xml:space="preserve">丰城新城投建工集团有限公司  </w:t>
      </w:r>
      <w:r>
        <w:rPr>
          <w:rFonts w:hint="eastAsia" w:ascii="宋体" w:hAnsi="宋体" w:cs="宋体"/>
          <w:color w:val="auto"/>
          <w:sz w:val="28"/>
          <w:szCs w:val="28"/>
          <w:u w:val="single"/>
        </w:rPr>
        <w:t xml:space="preserve">            </w:t>
      </w:r>
      <w:r>
        <w:rPr>
          <w:rFonts w:hint="eastAsia"/>
          <w:b/>
          <w:color w:val="auto"/>
          <w:sz w:val="36"/>
          <w:szCs w:val="36"/>
        </w:rPr>
        <w:t>（章）</w:t>
      </w:r>
    </w:p>
    <w:p w14:paraId="594C0792">
      <w:pPr>
        <w:ind w:firstLine="660"/>
        <w:rPr>
          <w:color w:val="auto"/>
          <w:sz w:val="36"/>
          <w:szCs w:val="36"/>
        </w:rPr>
      </w:pPr>
    </w:p>
    <w:p w14:paraId="193BDCF3">
      <w:pPr>
        <w:rPr>
          <w:color w:val="auto"/>
          <w:sz w:val="36"/>
          <w:szCs w:val="36"/>
        </w:rPr>
      </w:pPr>
      <w:r>
        <w:rPr>
          <w:rFonts w:hint="eastAsia"/>
          <w:color w:val="auto"/>
          <w:sz w:val="32"/>
          <w:szCs w:val="32"/>
        </w:rPr>
        <w:t>法定代表人：</w:t>
      </w:r>
      <w:bookmarkStart w:id="1" w:name="EB44d1d9f875dd475cb74da28eb6081f39"/>
      <w:bookmarkEnd w:id="1"/>
      <w:r>
        <w:rPr>
          <w:rFonts w:hint="eastAsia"/>
          <w:color w:val="auto"/>
          <w:sz w:val="28"/>
          <w:szCs w:val="28"/>
          <w:u w:val="single"/>
        </w:rPr>
        <w:t xml:space="preserve">                        </w:t>
      </w:r>
      <w:r>
        <w:rPr>
          <w:rFonts w:hint="eastAsia" w:ascii="宋体" w:hAnsi="宋体"/>
          <w:bCs/>
          <w:color w:val="auto"/>
          <w:sz w:val="28"/>
          <w:szCs w:val="28"/>
          <w:u w:val="single"/>
        </w:rPr>
        <w:t xml:space="preserve">  </w:t>
      </w:r>
      <w:r>
        <w:rPr>
          <w:rFonts w:hint="eastAsia"/>
          <w:color w:val="auto"/>
          <w:sz w:val="28"/>
          <w:szCs w:val="28"/>
          <w:u w:val="single"/>
        </w:rPr>
        <w:t xml:space="preserve">                  </w:t>
      </w:r>
      <w:r>
        <w:rPr>
          <w:rFonts w:hint="eastAsia"/>
          <w:b/>
          <w:color w:val="auto"/>
          <w:sz w:val="36"/>
          <w:szCs w:val="36"/>
        </w:rPr>
        <w:t>（章）</w:t>
      </w:r>
    </w:p>
    <w:p w14:paraId="10A905CB">
      <w:pPr>
        <w:rPr>
          <w:color w:val="auto"/>
          <w:sz w:val="36"/>
          <w:szCs w:val="36"/>
        </w:rPr>
      </w:pPr>
    </w:p>
    <w:p w14:paraId="43E9C61C">
      <w:pPr>
        <w:rPr>
          <w:color w:val="auto"/>
          <w:sz w:val="24"/>
          <w:szCs w:val="24"/>
          <w:u w:val="single"/>
        </w:rPr>
      </w:pPr>
      <w:r>
        <w:rPr>
          <w:rFonts w:hint="eastAsia"/>
          <w:color w:val="auto"/>
          <w:spacing w:val="86"/>
          <w:kern w:val="0"/>
          <w:sz w:val="32"/>
          <w:szCs w:val="32"/>
          <w:fitText w:val="1800" w:id="1707770372"/>
        </w:rPr>
        <w:t>编制时</w:t>
      </w:r>
      <w:r>
        <w:rPr>
          <w:rFonts w:hint="eastAsia"/>
          <w:color w:val="auto"/>
          <w:spacing w:val="2"/>
          <w:kern w:val="0"/>
          <w:sz w:val="32"/>
          <w:szCs w:val="32"/>
          <w:fitText w:val="1800" w:id="1707770372"/>
        </w:rPr>
        <w:t>间</w:t>
      </w:r>
      <w:r>
        <w:rPr>
          <w:rFonts w:hint="eastAsia"/>
          <w:color w:val="auto"/>
          <w:sz w:val="32"/>
          <w:szCs w:val="32"/>
        </w:rPr>
        <w:t>：</w:t>
      </w:r>
      <w:bookmarkStart w:id="2" w:name="EBeafbcc4079804eea88477f4c596c888d"/>
      <w:r>
        <w:rPr>
          <w:rFonts w:hint="eastAsia"/>
          <w:color w:val="auto"/>
          <w:sz w:val="36"/>
          <w:szCs w:val="36"/>
          <w:u w:val="single"/>
        </w:rPr>
        <w:t xml:space="preserve">    </w:t>
      </w:r>
      <w:bookmarkEnd w:id="2"/>
      <w:r>
        <w:rPr>
          <w:rFonts w:hint="eastAsia" w:ascii="宋体" w:hAnsi="宋体"/>
          <w:bCs/>
          <w:color w:val="auto"/>
          <w:sz w:val="24"/>
          <w:szCs w:val="24"/>
          <w:u w:val="single"/>
        </w:rPr>
        <w:t xml:space="preserve">         </w:t>
      </w:r>
      <w:r>
        <w:rPr>
          <w:rFonts w:hint="eastAsia"/>
          <w:color w:val="auto"/>
          <w:sz w:val="24"/>
          <w:szCs w:val="24"/>
          <w:u w:val="single"/>
        </w:rPr>
        <w:t xml:space="preserve"> </w:t>
      </w:r>
      <w:r>
        <w:rPr>
          <w:rFonts w:hint="eastAsia"/>
          <w:color w:val="auto"/>
          <w:sz w:val="28"/>
          <w:szCs w:val="28"/>
          <w:u w:val="single"/>
        </w:rPr>
        <w:t xml:space="preserve"> </w:t>
      </w:r>
      <w:bookmarkStart w:id="3" w:name="EB42788f1460a0442daa37903383697752"/>
      <w:r>
        <w:rPr>
          <w:rFonts w:hint="eastAsia" w:ascii="宋体" w:hAnsi="宋体"/>
          <w:bCs/>
          <w:color w:val="auto"/>
          <w:sz w:val="32"/>
          <w:szCs w:val="32"/>
          <w:u w:val="single"/>
        </w:rPr>
        <w:t>2026年 3月</w:t>
      </w:r>
      <w:bookmarkEnd w:id="3"/>
      <w:r>
        <w:rPr>
          <w:rFonts w:hint="eastAsia" w:ascii="宋体" w:hAnsi="宋体"/>
          <w:bCs/>
          <w:color w:val="auto"/>
          <w:sz w:val="32"/>
          <w:szCs w:val="32"/>
          <w:u w:val="single"/>
          <w:lang w:val="en-US" w:eastAsia="zh-CN"/>
        </w:rPr>
        <w:t>27</w:t>
      </w:r>
      <w:r>
        <w:rPr>
          <w:rFonts w:hint="eastAsia" w:ascii="宋体" w:hAnsi="宋体"/>
          <w:bCs/>
          <w:color w:val="auto"/>
          <w:sz w:val="32"/>
          <w:szCs w:val="32"/>
          <w:u w:val="single"/>
        </w:rPr>
        <w:t>日</w:t>
      </w:r>
      <w:r>
        <w:rPr>
          <w:rFonts w:hint="eastAsia"/>
          <w:color w:val="auto"/>
          <w:sz w:val="28"/>
          <w:szCs w:val="28"/>
          <w:u w:val="single"/>
        </w:rPr>
        <w:t xml:space="preserve">   </w:t>
      </w:r>
      <w:r>
        <w:rPr>
          <w:rFonts w:hint="eastAsia"/>
          <w:color w:val="auto"/>
          <w:sz w:val="24"/>
          <w:szCs w:val="24"/>
          <w:u w:val="single"/>
        </w:rPr>
        <w:t xml:space="preserve">                  </w:t>
      </w:r>
    </w:p>
    <w:p w14:paraId="2A5A8A0C">
      <w:pPr>
        <w:tabs>
          <w:tab w:val="left" w:pos="6360"/>
        </w:tabs>
        <w:rPr>
          <w:color w:val="auto"/>
          <w:sz w:val="44"/>
          <w:szCs w:val="44"/>
        </w:rPr>
      </w:pPr>
      <w:r>
        <w:rPr>
          <w:rFonts w:hint="eastAsia"/>
          <w:color w:val="auto"/>
          <w:sz w:val="44"/>
          <w:szCs w:val="44"/>
        </w:rPr>
        <w:t xml:space="preserve"> </w:t>
      </w:r>
    </w:p>
    <w:p w14:paraId="6F39687F">
      <w:pPr>
        <w:jc w:val="center"/>
        <w:rPr>
          <w:rFonts w:ascii="宋体" w:hAnsi="宋体"/>
          <w:b/>
          <w:bCs/>
          <w:color w:val="auto"/>
          <w:sz w:val="44"/>
          <w:szCs w:val="44"/>
        </w:rPr>
      </w:pPr>
    </w:p>
    <w:p w14:paraId="108783EB">
      <w:pPr>
        <w:rPr>
          <w:rFonts w:ascii="宋体" w:hAnsi="宋体"/>
          <w:b/>
          <w:bCs/>
          <w:color w:val="auto"/>
          <w:sz w:val="44"/>
          <w:szCs w:val="44"/>
        </w:rPr>
      </w:pPr>
    </w:p>
    <w:p w14:paraId="399CEEC4">
      <w:pPr>
        <w:pStyle w:val="36"/>
        <w:ind w:firstLine="280"/>
        <w:rPr>
          <w:color w:val="auto"/>
        </w:rPr>
      </w:pPr>
    </w:p>
    <w:p w14:paraId="51799F1A">
      <w:pPr>
        <w:jc w:val="center"/>
        <w:rPr>
          <w:rFonts w:ascii="宋体" w:hAnsi="宋体"/>
          <w:b/>
          <w:bCs/>
          <w:color w:val="auto"/>
          <w:sz w:val="44"/>
          <w:szCs w:val="44"/>
        </w:rPr>
      </w:pPr>
    </w:p>
    <w:p w14:paraId="186E536F">
      <w:pPr>
        <w:pStyle w:val="28"/>
        <w:ind w:firstLine="280"/>
        <w:rPr>
          <w:color w:val="auto"/>
        </w:rPr>
      </w:pPr>
    </w:p>
    <w:p w14:paraId="546778E1">
      <w:pPr>
        <w:pStyle w:val="23"/>
        <w:rPr>
          <w:color w:val="auto"/>
        </w:rPr>
      </w:pPr>
    </w:p>
    <w:p w14:paraId="38A043D8">
      <w:pPr>
        <w:rPr>
          <w:color w:val="auto"/>
        </w:rPr>
      </w:pPr>
    </w:p>
    <w:p w14:paraId="6CB4E998">
      <w:pPr>
        <w:pStyle w:val="28"/>
        <w:ind w:firstLine="280"/>
        <w:rPr>
          <w:color w:val="auto"/>
        </w:rPr>
      </w:pPr>
    </w:p>
    <w:p w14:paraId="09017935">
      <w:pPr>
        <w:pStyle w:val="23"/>
        <w:rPr>
          <w:color w:val="auto"/>
        </w:rPr>
      </w:pPr>
    </w:p>
    <w:p w14:paraId="2B27005B">
      <w:pPr>
        <w:rPr>
          <w:color w:val="auto"/>
        </w:rPr>
      </w:pPr>
    </w:p>
    <w:p w14:paraId="1C3B7FB6">
      <w:pPr>
        <w:jc w:val="center"/>
        <w:rPr>
          <w:rFonts w:ascii="宋体" w:hAnsi="宋体"/>
          <w:b/>
          <w:bCs/>
          <w:color w:val="auto"/>
          <w:sz w:val="44"/>
          <w:szCs w:val="44"/>
        </w:rPr>
      </w:pPr>
    </w:p>
    <w:p w14:paraId="02DD706A">
      <w:pPr>
        <w:jc w:val="center"/>
        <w:rPr>
          <w:rFonts w:ascii="宋体" w:hAnsi="宋体"/>
          <w:b/>
          <w:bCs/>
          <w:color w:val="auto"/>
          <w:sz w:val="44"/>
          <w:szCs w:val="44"/>
        </w:rPr>
      </w:pPr>
      <w:r>
        <w:rPr>
          <w:rFonts w:hint="eastAsia" w:ascii="宋体" w:hAnsi="宋体"/>
          <w:b/>
          <w:bCs/>
          <w:color w:val="auto"/>
          <w:sz w:val="44"/>
          <w:szCs w:val="44"/>
        </w:rPr>
        <w:t>说  明</w:t>
      </w:r>
    </w:p>
    <w:p w14:paraId="36F5738E">
      <w:pPr>
        <w:spacing w:line="360" w:lineRule="auto"/>
        <w:rPr>
          <w:rFonts w:ascii="仿宋_GB2312" w:hAnsi="宋体" w:eastAsia="仿宋_GB2312"/>
          <w:bCs/>
          <w:color w:val="auto"/>
          <w:sz w:val="28"/>
          <w:szCs w:val="28"/>
        </w:rPr>
      </w:pPr>
    </w:p>
    <w:p w14:paraId="44D3F2B7">
      <w:pPr>
        <w:spacing w:line="600" w:lineRule="exact"/>
        <w:ind w:firstLine="646"/>
        <w:rPr>
          <w:rFonts w:ascii="宋体" w:hAnsi="宋体"/>
          <w:bCs/>
          <w:color w:val="auto"/>
          <w:sz w:val="24"/>
          <w:szCs w:val="24"/>
        </w:rPr>
      </w:pPr>
      <w:r>
        <w:rPr>
          <w:rFonts w:hint="eastAsia" w:ascii="宋体" w:hAnsi="宋体"/>
          <w:bCs/>
          <w:color w:val="auto"/>
          <w:sz w:val="24"/>
          <w:szCs w:val="24"/>
        </w:rPr>
        <w:t>1、资格审查工作由资审委员会负责实施；</w:t>
      </w:r>
    </w:p>
    <w:p w14:paraId="66C3E72D">
      <w:pPr>
        <w:spacing w:line="600" w:lineRule="exact"/>
        <w:ind w:firstLine="646"/>
        <w:rPr>
          <w:rFonts w:ascii="宋体" w:hAnsi="宋体"/>
          <w:bCs/>
          <w:color w:val="auto"/>
          <w:sz w:val="24"/>
          <w:szCs w:val="24"/>
        </w:rPr>
      </w:pPr>
      <w:r>
        <w:rPr>
          <w:rFonts w:hint="eastAsia" w:ascii="宋体" w:hAnsi="宋体"/>
          <w:bCs/>
          <w:color w:val="auto"/>
          <w:sz w:val="24"/>
          <w:szCs w:val="24"/>
        </w:rPr>
        <w:t>2、资格审查必须坚持客观、公正、公平和实事求是的原则；</w:t>
      </w:r>
    </w:p>
    <w:p w14:paraId="1DA05A96">
      <w:pPr>
        <w:spacing w:line="600" w:lineRule="exact"/>
        <w:ind w:firstLine="646"/>
        <w:rPr>
          <w:rFonts w:ascii="宋体" w:hAnsi="宋体"/>
          <w:bCs/>
          <w:color w:val="auto"/>
          <w:sz w:val="24"/>
          <w:szCs w:val="24"/>
        </w:rPr>
      </w:pPr>
      <w:r>
        <w:rPr>
          <w:rFonts w:hint="eastAsia" w:ascii="宋体" w:hAnsi="宋体"/>
          <w:bCs/>
          <w:color w:val="auto"/>
          <w:sz w:val="24"/>
          <w:szCs w:val="24"/>
        </w:rPr>
        <w:t>3、邀请方在本文件自行设置的条件中，其约定内容表述不明确，执行有争议的，按有利于投标申请人的原则处理；</w:t>
      </w:r>
    </w:p>
    <w:p w14:paraId="419BCB17">
      <w:pPr>
        <w:spacing w:line="600" w:lineRule="exact"/>
        <w:ind w:firstLine="646"/>
        <w:rPr>
          <w:rFonts w:ascii="宋体" w:hAnsi="宋体"/>
          <w:bCs/>
          <w:color w:val="auto"/>
          <w:sz w:val="24"/>
          <w:szCs w:val="24"/>
        </w:rPr>
      </w:pPr>
      <w:r>
        <w:rPr>
          <w:rFonts w:hint="eastAsia" w:ascii="宋体" w:hAnsi="宋体"/>
          <w:bCs/>
          <w:color w:val="auto"/>
          <w:sz w:val="24"/>
          <w:szCs w:val="24"/>
        </w:rPr>
        <w:t>4、资格审查文件的解释权归属邀请方，但解释内容不符合国家法律法规及行业管理有关规范性文件精神的除外。</w:t>
      </w:r>
    </w:p>
    <w:p w14:paraId="6A8A11AA">
      <w:pPr>
        <w:ind w:firstLine="645"/>
        <w:rPr>
          <w:rFonts w:ascii="仿宋_GB2312" w:hAnsi="宋体" w:eastAsia="仿宋_GB2312"/>
          <w:bCs/>
          <w:color w:val="auto"/>
          <w:sz w:val="28"/>
          <w:szCs w:val="28"/>
        </w:rPr>
      </w:pPr>
    </w:p>
    <w:p w14:paraId="2E218F30">
      <w:pPr>
        <w:ind w:firstLine="645"/>
        <w:rPr>
          <w:rFonts w:ascii="仿宋_GB2312" w:hAnsi="宋体" w:eastAsia="仿宋_GB2312"/>
          <w:bCs/>
          <w:color w:val="auto"/>
          <w:sz w:val="28"/>
          <w:szCs w:val="28"/>
        </w:rPr>
      </w:pPr>
    </w:p>
    <w:p w14:paraId="22945FE3">
      <w:pPr>
        <w:rPr>
          <w:rFonts w:ascii="仿宋_GB2312" w:hAnsi="宋体" w:eastAsia="仿宋_GB2312"/>
          <w:bCs/>
          <w:color w:val="auto"/>
          <w:sz w:val="32"/>
          <w:szCs w:val="32"/>
        </w:rPr>
      </w:pPr>
    </w:p>
    <w:p w14:paraId="09266965">
      <w:pPr>
        <w:ind w:firstLine="645"/>
        <w:rPr>
          <w:rFonts w:ascii="仿宋_GB2312" w:hAnsi="宋体" w:eastAsia="仿宋_GB2312"/>
          <w:bCs/>
          <w:color w:val="auto"/>
          <w:sz w:val="32"/>
          <w:szCs w:val="32"/>
        </w:rPr>
      </w:pPr>
    </w:p>
    <w:p w14:paraId="66E2A0CA">
      <w:pPr>
        <w:rPr>
          <w:rFonts w:ascii="宋体" w:hAnsi="宋体"/>
          <w:b/>
          <w:bCs/>
          <w:color w:val="auto"/>
          <w:sz w:val="32"/>
          <w:szCs w:val="32"/>
        </w:rPr>
      </w:pPr>
    </w:p>
    <w:p w14:paraId="738CB8CE">
      <w:pPr>
        <w:keepNext/>
        <w:keepLines/>
        <w:pageBreakBefore/>
        <w:outlineLvl w:val="0"/>
        <w:rPr>
          <w:rFonts w:ascii="宋体" w:hAnsi="宋体"/>
          <w:b/>
          <w:bCs/>
          <w:color w:val="auto"/>
          <w:sz w:val="28"/>
          <w:szCs w:val="28"/>
        </w:rPr>
      </w:pPr>
      <w:bookmarkStart w:id="4" w:name="_Toc473985195"/>
      <w:r>
        <w:rPr>
          <w:rFonts w:hint="eastAsia" w:ascii="宋体" w:hAnsi="宋体"/>
          <w:b/>
          <w:bCs/>
          <w:color w:val="auto"/>
          <w:sz w:val="28"/>
          <w:szCs w:val="28"/>
        </w:rPr>
        <w:t>一、投标资格审查须知</w:t>
      </w:r>
      <w:bookmarkEnd w:id="4"/>
    </w:p>
    <w:p w14:paraId="75E5C32D">
      <w:pPr>
        <w:rPr>
          <w:rFonts w:ascii="宋体" w:hAnsi="宋体" w:cs="宋体"/>
          <w:bCs/>
          <w:color w:val="auto"/>
          <w:sz w:val="24"/>
          <w:szCs w:val="24"/>
        </w:rPr>
      </w:pPr>
      <w:bookmarkStart w:id="5" w:name="_Toc473985196"/>
      <w:r>
        <w:rPr>
          <w:rFonts w:hint="eastAsia" w:ascii="宋体" w:hAnsi="宋体" w:cs="宋体"/>
          <w:bCs/>
          <w:color w:val="auto"/>
          <w:sz w:val="24"/>
          <w:szCs w:val="24"/>
        </w:rPr>
        <w:t>（一）本工程资格审查方式采用：</w:t>
      </w:r>
      <w:bookmarkStart w:id="6" w:name="EBaa3a5fc92ac7435680d178c49d2e9f65"/>
      <w:r>
        <w:rPr>
          <w:rFonts w:hint="eastAsia" w:ascii="宋体" w:hAnsi="宋体" w:cs="宋体"/>
          <w:bCs/>
          <w:color w:val="auto"/>
          <w:sz w:val="24"/>
          <w:szCs w:val="24"/>
        </w:rPr>
        <w:t xml:space="preserve">□ </w:t>
      </w:r>
      <w:bookmarkEnd w:id="6"/>
      <w:r>
        <w:rPr>
          <w:rFonts w:hint="eastAsia" w:ascii="宋体" w:hAnsi="宋体" w:cs="宋体"/>
          <w:bCs/>
          <w:color w:val="auto"/>
          <w:sz w:val="24"/>
          <w:szCs w:val="24"/>
        </w:rPr>
        <w:t>资格预审；</w:t>
      </w:r>
      <w:bookmarkStart w:id="7" w:name="EBec9b5f289eb348ffb789c52e08ec6aa0"/>
      <w:r>
        <w:rPr>
          <w:rFonts w:hint="eastAsia" w:ascii="宋体" w:hAnsi="宋体" w:cs="宋体"/>
          <w:color w:val="auto"/>
          <w:sz w:val="24"/>
          <w:szCs w:val="24"/>
          <w:bdr w:val="single" w:color="auto" w:sz="4" w:space="0"/>
        </w:rPr>
        <w:t>√</w:t>
      </w:r>
      <w:r>
        <w:rPr>
          <w:rFonts w:hint="eastAsia" w:ascii="宋体" w:hAnsi="宋体" w:cs="宋体"/>
          <w:bCs/>
          <w:color w:val="auto"/>
          <w:sz w:val="24"/>
          <w:szCs w:val="24"/>
        </w:rPr>
        <w:t xml:space="preserve"> </w:t>
      </w:r>
      <w:bookmarkEnd w:id="7"/>
      <w:r>
        <w:rPr>
          <w:rFonts w:hint="eastAsia" w:ascii="宋体" w:hAnsi="宋体" w:cs="宋体"/>
          <w:bCs/>
          <w:color w:val="auto"/>
          <w:sz w:val="24"/>
          <w:szCs w:val="24"/>
        </w:rPr>
        <w:t>资格后审。</w:t>
      </w:r>
      <w:bookmarkEnd w:id="5"/>
    </w:p>
    <w:p w14:paraId="713DF795">
      <w:pPr>
        <w:rPr>
          <w:rFonts w:ascii="宋体" w:hAnsi="宋体" w:cs="宋体"/>
          <w:bCs/>
          <w:color w:val="auto"/>
          <w:sz w:val="24"/>
          <w:szCs w:val="24"/>
        </w:rPr>
      </w:pPr>
      <w:r>
        <w:rPr>
          <w:rFonts w:hint="eastAsia" w:ascii="宋体" w:hAnsi="宋体" w:cs="宋体"/>
          <w:bCs/>
          <w:color w:val="auto"/>
          <w:sz w:val="24"/>
          <w:szCs w:val="24"/>
        </w:rPr>
        <w:t>（二）前附表</w:t>
      </w:r>
    </w:p>
    <w:tbl>
      <w:tblPr>
        <w:tblStyle w:val="29"/>
        <w:tblW w:w="11201"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181"/>
        <w:gridCol w:w="1945"/>
        <w:gridCol w:w="2271"/>
        <w:gridCol w:w="3839"/>
        <w:gridCol w:w="1223"/>
      </w:tblGrid>
      <w:tr w14:paraId="4B13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23" w:type="dxa"/>
          <w:trHeight w:val="544" w:hRule="atLeast"/>
        </w:trPr>
        <w:tc>
          <w:tcPr>
            <w:tcW w:w="1923" w:type="dxa"/>
            <w:gridSpan w:val="2"/>
            <w:vAlign w:val="center"/>
          </w:tcPr>
          <w:p w14:paraId="4682A654">
            <w:pPr>
              <w:spacing w:line="560" w:lineRule="exact"/>
              <w:jc w:val="center"/>
              <w:rPr>
                <w:rFonts w:ascii="宋体" w:hAnsi="宋体" w:cs="宋体"/>
                <w:bCs/>
                <w:color w:val="auto"/>
                <w:sz w:val="24"/>
                <w:szCs w:val="24"/>
              </w:rPr>
            </w:pPr>
            <w:r>
              <w:rPr>
                <w:rFonts w:hint="eastAsia" w:ascii="宋体" w:hAnsi="宋体" w:cs="宋体"/>
                <w:bCs/>
                <w:color w:val="auto"/>
                <w:sz w:val="24"/>
                <w:szCs w:val="24"/>
              </w:rPr>
              <w:t>工程名称</w:t>
            </w:r>
          </w:p>
        </w:tc>
        <w:tc>
          <w:tcPr>
            <w:tcW w:w="8055" w:type="dxa"/>
            <w:gridSpan w:val="3"/>
            <w:vAlign w:val="center"/>
          </w:tcPr>
          <w:p w14:paraId="0C6EFE25">
            <w:pPr>
              <w:spacing w:line="620" w:lineRule="exact"/>
              <w:rPr>
                <w:rFonts w:ascii="宋体" w:hAnsi="宋体" w:cs="宋体"/>
                <w:color w:val="auto"/>
                <w:sz w:val="24"/>
                <w:szCs w:val="24"/>
              </w:rPr>
            </w:pPr>
            <w:r>
              <w:rPr>
                <w:rFonts w:hint="eastAsia" w:ascii="宋体" w:hAnsi="宋体" w:cs="宋体"/>
                <w:bCs/>
                <w:color w:val="auto"/>
                <w:kern w:val="44"/>
                <w:sz w:val="24"/>
                <w:szCs w:val="24"/>
              </w:rPr>
              <w:t>2026年度丰城新城投建工集团有限公司专业工程施工承包企业入驻</w:t>
            </w:r>
          </w:p>
        </w:tc>
      </w:tr>
      <w:tr w14:paraId="6FC9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23" w:type="dxa"/>
        </w:trPr>
        <w:tc>
          <w:tcPr>
            <w:tcW w:w="1923" w:type="dxa"/>
            <w:gridSpan w:val="2"/>
            <w:vAlign w:val="center"/>
          </w:tcPr>
          <w:p w14:paraId="40A8B52F">
            <w:pPr>
              <w:spacing w:line="560" w:lineRule="exact"/>
              <w:jc w:val="center"/>
              <w:rPr>
                <w:rFonts w:ascii="宋体" w:hAnsi="宋体" w:cs="宋体"/>
                <w:bCs/>
                <w:color w:val="auto"/>
                <w:sz w:val="24"/>
                <w:szCs w:val="24"/>
              </w:rPr>
            </w:pPr>
            <w:r>
              <w:rPr>
                <w:rFonts w:hint="eastAsia" w:ascii="宋体" w:hAnsi="宋体" w:cs="宋体"/>
                <w:bCs/>
                <w:color w:val="auto"/>
                <w:sz w:val="24"/>
                <w:szCs w:val="24"/>
              </w:rPr>
              <w:t>建设地点</w:t>
            </w:r>
          </w:p>
        </w:tc>
        <w:tc>
          <w:tcPr>
            <w:tcW w:w="8055" w:type="dxa"/>
            <w:gridSpan w:val="3"/>
            <w:vAlign w:val="center"/>
          </w:tcPr>
          <w:p w14:paraId="6FEE5D84">
            <w:pPr>
              <w:spacing w:line="560" w:lineRule="exact"/>
              <w:rPr>
                <w:rFonts w:ascii="宋体" w:hAnsi="宋体" w:cs="宋体"/>
                <w:color w:val="auto"/>
                <w:sz w:val="24"/>
                <w:szCs w:val="24"/>
              </w:rPr>
            </w:pPr>
            <w:bookmarkStart w:id="8" w:name="EBf111f88256f54a8faf3ab769145c618f"/>
            <w:bookmarkEnd w:id="8"/>
            <w:r>
              <w:rPr>
                <w:rFonts w:hint="eastAsia" w:ascii="宋体" w:hAnsi="宋体" w:cs="宋体"/>
                <w:color w:val="auto"/>
                <w:sz w:val="24"/>
                <w:szCs w:val="24"/>
              </w:rPr>
              <w:t>丰城市</w:t>
            </w:r>
          </w:p>
        </w:tc>
      </w:tr>
      <w:tr w14:paraId="35B6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23" w:type="dxa"/>
          <w:trHeight w:val="758" w:hRule="atLeast"/>
        </w:trPr>
        <w:tc>
          <w:tcPr>
            <w:tcW w:w="3868" w:type="dxa"/>
            <w:gridSpan w:val="3"/>
            <w:vAlign w:val="center"/>
          </w:tcPr>
          <w:p w14:paraId="01B9363D">
            <w:pPr>
              <w:spacing w:line="276" w:lineRule="auto"/>
              <w:rPr>
                <w:rFonts w:ascii="宋体" w:hAnsi="宋体" w:cs="宋体"/>
                <w:bCs/>
                <w:color w:val="auto"/>
                <w:sz w:val="24"/>
                <w:szCs w:val="24"/>
              </w:rPr>
            </w:pPr>
            <w:bookmarkStart w:id="9" w:name="EB276b0e4497774e8d98e812fdaaa4e7d2"/>
            <w:bookmarkEnd w:id="9"/>
            <w:r>
              <w:rPr>
                <w:rFonts w:hint="eastAsia" w:ascii="宋体" w:hAnsi="宋体" w:cs="宋体"/>
                <w:bCs/>
                <w:color w:val="auto"/>
                <w:sz w:val="24"/>
                <w:szCs w:val="24"/>
              </w:rPr>
              <w:t>投标保证金在递交资格审查文件前一日的17点前向邀请方递交</w:t>
            </w:r>
          </w:p>
        </w:tc>
        <w:tc>
          <w:tcPr>
            <w:tcW w:w="2271" w:type="dxa"/>
            <w:vAlign w:val="center"/>
          </w:tcPr>
          <w:p w14:paraId="3659A659">
            <w:pPr>
              <w:spacing w:line="560" w:lineRule="exact"/>
              <w:jc w:val="center"/>
              <w:rPr>
                <w:rFonts w:ascii="宋体" w:hAnsi="宋体" w:cs="宋体"/>
                <w:bCs/>
                <w:color w:val="auto"/>
                <w:sz w:val="24"/>
                <w:szCs w:val="24"/>
              </w:rPr>
            </w:pPr>
            <w:r>
              <w:rPr>
                <w:rFonts w:hint="eastAsia" w:ascii="宋体" w:hAnsi="宋体" w:cs="宋体"/>
                <w:bCs/>
                <w:color w:val="auto"/>
                <w:sz w:val="24"/>
                <w:szCs w:val="24"/>
              </w:rPr>
              <w:t>入驻企业</w:t>
            </w:r>
          </w:p>
        </w:tc>
        <w:tc>
          <w:tcPr>
            <w:tcW w:w="3839" w:type="dxa"/>
            <w:vAlign w:val="center"/>
          </w:tcPr>
          <w:p w14:paraId="49A91E19">
            <w:pPr>
              <w:spacing w:line="560" w:lineRule="exact"/>
              <w:jc w:val="center"/>
              <w:rPr>
                <w:rFonts w:ascii="宋体" w:hAnsi="宋体" w:cs="宋体"/>
                <w:bCs/>
                <w:color w:val="auto"/>
                <w:sz w:val="24"/>
                <w:szCs w:val="24"/>
              </w:rPr>
            </w:pPr>
            <w:bookmarkStart w:id="10" w:name="EB18d062c227d442ca85571d085f1691cb"/>
            <w:bookmarkEnd w:id="10"/>
            <w:r>
              <w:rPr>
                <w:rFonts w:hint="eastAsia" w:ascii="宋体" w:hAnsi="宋体" w:cs="宋体"/>
                <w:bCs/>
                <w:color w:val="auto"/>
                <w:sz w:val="24"/>
                <w:szCs w:val="24"/>
              </w:rPr>
              <w:t>5万元</w:t>
            </w:r>
            <w:r>
              <w:rPr>
                <w:rFonts w:hint="eastAsia" w:ascii="宋体" w:hAnsi="宋体" w:cs="宋体"/>
                <w:bCs/>
                <w:color w:val="auto"/>
                <w:sz w:val="24"/>
                <w:szCs w:val="24"/>
                <w:lang w:val="en-US" w:eastAsia="zh-CN"/>
              </w:rPr>
              <w:t>/每个专业工程</w:t>
            </w:r>
            <w:r>
              <w:rPr>
                <w:rFonts w:hint="eastAsia" w:ascii="宋体" w:hAnsi="宋体" w:cs="宋体"/>
                <w:bCs/>
                <w:color w:val="auto"/>
                <w:sz w:val="24"/>
                <w:szCs w:val="24"/>
              </w:rPr>
              <w:t>【人民币】</w:t>
            </w:r>
          </w:p>
        </w:tc>
      </w:tr>
      <w:tr w14:paraId="3CE5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23" w:type="dxa"/>
          <w:trHeight w:val="632" w:hRule="atLeast"/>
        </w:trPr>
        <w:tc>
          <w:tcPr>
            <w:tcW w:w="3868" w:type="dxa"/>
            <w:gridSpan w:val="3"/>
            <w:vAlign w:val="center"/>
          </w:tcPr>
          <w:p w14:paraId="79330630">
            <w:pPr>
              <w:spacing w:line="276" w:lineRule="auto"/>
              <w:rPr>
                <w:rFonts w:ascii="宋体" w:hAnsi="宋体" w:cs="宋体"/>
                <w:bCs/>
                <w:color w:val="auto"/>
                <w:sz w:val="24"/>
                <w:szCs w:val="24"/>
              </w:rPr>
            </w:pPr>
            <w:r>
              <w:rPr>
                <w:rFonts w:hint="eastAsia" w:ascii="宋体" w:hAnsi="宋体" w:cs="宋体"/>
                <w:bCs/>
                <w:color w:val="auto"/>
                <w:sz w:val="24"/>
                <w:szCs w:val="24"/>
              </w:rPr>
              <w:t>固定投标保证金在</w:t>
            </w:r>
            <w:r>
              <w:rPr>
                <w:rFonts w:hint="eastAsia" w:ascii="宋体" w:hAnsi="宋体" w:cs="宋体"/>
                <w:color w:val="auto"/>
                <w:spacing w:val="27"/>
                <w:sz w:val="24"/>
                <w:szCs w:val="24"/>
                <w:shd w:val="clear" w:color="auto" w:fill="FFFFFF"/>
              </w:rPr>
              <w:t>正式入驻前向邀请方</w:t>
            </w:r>
            <w:r>
              <w:rPr>
                <w:rFonts w:hint="eastAsia" w:ascii="宋体" w:hAnsi="宋体" w:cs="宋体"/>
                <w:bCs/>
                <w:color w:val="auto"/>
                <w:sz w:val="24"/>
                <w:szCs w:val="24"/>
              </w:rPr>
              <w:t>递交</w:t>
            </w:r>
          </w:p>
        </w:tc>
        <w:tc>
          <w:tcPr>
            <w:tcW w:w="2271" w:type="dxa"/>
            <w:vAlign w:val="center"/>
          </w:tcPr>
          <w:p w14:paraId="0E9F3B78">
            <w:pPr>
              <w:spacing w:line="560" w:lineRule="exact"/>
              <w:jc w:val="center"/>
              <w:rPr>
                <w:rFonts w:ascii="宋体" w:hAnsi="宋体" w:cs="宋体"/>
                <w:bCs/>
                <w:color w:val="auto"/>
                <w:sz w:val="24"/>
                <w:szCs w:val="24"/>
              </w:rPr>
            </w:pPr>
            <w:r>
              <w:rPr>
                <w:rFonts w:hint="eastAsia" w:ascii="宋体" w:hAnsi="宋体" w:cs="宋体"/>
                <w:bCs/>
                <w:color w:val="auto"/>
                <w:sz w:val="24"/>
                <w:szCs w:val="24"/>
              </w:rPr>
              <w:t>入驻企业</w:t>
            </w:r>
          </w:p>
        </w:tc>
        <w:tc>
          <w:tcPr>
            <w:tcW w:w="3839" w:type="dxa"/>
            <w:vAlign w:val="center"/>
          </w:tcPr>
          <w:p w14:paraId="5BF412DC">
            <w:pPr>
              <w:spacing w:line="560" w:lineRule="exact"/>
              <w:jc w:val="center"/>
              <w:rPr>
                <w:rFonts w:ascii="宋体" w:hAnsi="宋体" w:cs="宋体"/>
                <w:bCs/>
                <w:color w:val="auto"/>
                <w:sz w:val="24"/>
                <w:szCs w:val="24"/>
              </w:rPr>
            </w:pPr>
            <w:r>
              <w:rPr>
                <w:rFonts w:hint="eastAsia" w:ascii="宋体" w:hAnsi="宋体" w:cs="宋体"/>
                <w:bCs/>
                <w:color w:val="auto"/>
                <w:sz w:val="24"/>
                <w:szCs w:val="24"/>
              </w:rPr>
              <w:t xml:space="preserve"> 5万元</w:t>
            </w:r>
            <w:r>
              <w:rPr>
                <w:rFonts w:hint="eastAsia" w:ascii="宋体" w:hAnsi="宋体" w:cs="宋体"/>
                <w:bCs/>
                <w:color w:val="auto"/>
                <w:sz w:val="24"/>
                <w:szCs w:val="24"/>
                <w:lang w:val="en-US" w:eastAsia="zh-CN"/>
              </w:rPr>
              <w:t>/每个专业工程</w:t>
            </w:r>
            <w:r>
              <w:rPr>
                <w:rFonts w:hint="eastAsia" w:ascii="宋体" w:hAnsi="宋体" w:cs="宋体"/>
                <w:bCs/>
                <w:color w:val="auto"/>
                <w:sz w:val="24"/>
                <w:szCs w:val="24"/>
              </w:rPr>
              <w:t>【人民币】</w:t>
            </w:r>
          </w:p>
        </w:tc>
      </w:tr>
      <w:tr w14:paraId="14FC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23" w:type="dxa"/>
        </w:trPr>
        <w:tc>
          <w:tcPr>
            <w:tcW w:w="1742" w:type="dxa"/>
            <w:vMerge w:val="restart"/>
            <w:vAlign w:val="center"/>
          </w:tcPr>
          <w:p w14:paraId="4BCD1CF2">
            <w:pPr>
              <w:spacing w:line="560" w:lineRule="exact"/>
              <w:rPr>
                <w:rFonts w:ascii="宋体" w:hAnsi="宋体" w:cs="宋体"/>
                <w:bCs/>
                <w:color w:val="auto"/>
                <w:sz w:val="24"/>
                <w:szCs w:val="24"/>
              </w:rPr>
            </w:pPr>
            <w:r>
              <w:rPr>
                <w:rFonts w:hint="eastAsia" w:ascii="宋体" w:hAnsi="宋体" w:cs="宋体"/>
                <w:bCs/>
                <w:color w:val="auto"/>
                <w:sz w:val="24"/>
                <w:szCs w:val="24"/>
              </w:rPr>
              <w:t>投标保证金和固定投标保证金</w:t>
            </w:r>
          </w:p>
        </w:tc>
        <w:tc>
          <w:tcPr>
            <w:tcW w:w="2126" w:type="dxa"/>
            <w:gridSpan w:val="2"/>
            <w:tcBorders>
              <w:right w:val="nil"/>
            </w:tcBorders>
            <w:vAlign w:val="center"/>
          </w:tcPr>
          <w:p w14:paraId="4A23049A">
            <w:pPr>
              <w:spacing w:line="560" w:lineRule="exact"/>
              <w:rPr>
                <w:rFonts w:ascii="宋体" w:hAnsi="宋体" w:cs="宋体"/>
                <w:bCs/>
                <w:color w:val="auto"/>
                <w:sz w:val="24"/>
                <w:szCs w:val="24"/>
              </w:rPr>
            </w:pPr>
            <w:r>
              <w:rPr>
                <w:rFonts w:hint="eastAsia" w:ascii="宋体" w:hAnsi="宋体" w:cs="宋体"/>
                <w:bCs/>
                <w:color w:val="auto"/>
                <w:sz w:val="24"/>
                <w:szCs w:val="24"/>
              </w:rPr>
              <w:t>收款单位：</w:t>
            </w:r>
          </w:p>
        </w:tc>
        <w:tc>
          <w:tcPr>
            <w:tcW w:w="6110" w:type="dxa"/>
            <w:gridSpan w:val="2"/>
            <w:tcBorders>
              <w:left w:val="nil"/>
            </w:tcBorders>
            <w:vAlign w:val="center"/>
          </w:tcPr>
          <w:p w14:paraId="01E3FAA4">
            <w:pPr>
              <w:spacing w:line="560" w:lineRule="exact"/>
              <w:rPr>
                <w:rFonts w:ascii="宋体" w:hAnsi="宋体" w:cs="宋体"/>
                <w:bCs/>
                <w:color w:val="auto"/>
                <w:sz w:val="24"/>
                <w:szCs w:val="24"/>
              </w:rPr>
            </w:pPr>
            <w:r>
              <w:rPr>
                <w:rFonts w:hint="eastAsia" w:ascii="宋体" w:hAnsi="宋体" w:cs="宋体"/>
                <w:bCs/>
                <w:color w:val="auto"/>
                <w:sz w:val="24"/>
                <w:szCs w:val="24"/>
              </w:rPr>
              <w:t>丰城新城投建工集团有限公司</w:t>
            </w:r>
          </w:p>
        </w:tc>
      </w:tr>
      <w:tr w14:paraId="0815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23" w:type="dxa"/>
        </w:trPr>
        <w:tc>
          <w:tcPr>
            <w:tcW w:w="1742" w:type="dxa"/>
            <w:vMerge w:val="continue"/>
            <w:vAlign w:val="center"/>
          </w:tcPr>
          <w:p w14:paraId="1E75A98A">
            <w:pPr>
              <w:spacing w:line="560" w:lineRule="exact"/>
              <w:rPr>
                <w:rFonts w:ascii="宋体" w:hAnsi="宋体" w:cs="宋体"/>
                <w:bCs/>
                <w:color w:val="auto"/>
                <w:sz w:val="24"/>
                <w:szCs w:val="24"/>
              </w:rPr>
            </w:pPr>
          </w:p>
        </w:tc>
        <w:tc>
          <w:tcPr>
            <w:tcW w:w="2126" w:type="dxa"/>
            <w:gridSpan w:val="2"/>
            <w:tcBorders>
              <w:right w:val="nil"/>
            </w:tcBorders>
            <w:vAlign w:val="center"/>
          </w:tcPr>
          <w:p w14:paraId="5AA870A4">
            <w:pPr>
              <w:spacing w:line="560" w:lineRule="exact"/>
              <w:rPr>
                <w:rFonts w:ascii="宋体" w:hAnsi="宋体" w:cs="宋体"/>
                <w:bCs/>
                <w:color w:val="auto"/>
                <w:sz w:val="24"/>
                <w:szCs w:val="24"/>
              </w:rPr>
            </w:pPr>
            <w:r>
              <w:rPr>
                <w:rFonts w:hint="eastAsia" w:ascii="宋体" w:hAnsi="宋体" w:cs="宋体"/>
                <w:bCs/>
                <w:color w:val="auto"/>
                <w:sz w:val="24"/>
                <w:szCs w:val="24"/>
              </w:rPr>
              <w:t>开户银行：</w:t>
            </w:r>
          </w:p>
        </w:tc>
        <w:tc>
          <w:tcPr>
            <w:tcW w:w="6110" w:type="dxa"/>
            <w:gridSpan w:val="2"/>
            <w:tcBorders>
              <w:left w:val="nil"/>
            </w:tcBorders>
            <w:vAlign w:val="center"/>
          </w:tcPr>
          <w:p w14:paraId="120751FD">
            <w:pPr>
              <w:spacing w:line="560" w:lineRule="exact"/>
              <w:rPr>
                <w:rFonts w:ascii="宋体" w:hAnsi="宋体" w:cs="宋体"/>
                <w:bCs/>
                <w:color w:val="auto"/>
                <w:sz w:val="24"/>
                <w:szCs w:val="24"/>
              </w:rPr>
            </w:pPr>
            <w:r>
              <w:rPr>
                <w:rFonts w:hint="eastAsia" w:ascii="宋体" w:hAnsi="宋体" w:cs="宋体"/>
                <w:bCs/>
                <w:color w:val="auto"/>
                <w:sz w:val="24"/>
                <w:szCs w:val="24"/>
              </w:rPr>
              <w:t>中国建设银行股份有限公司丰城支行</w:t>
            </w:r>
          </w:p>
        </w:tc>
      </w:tr>
      <w:tr w14:paraId="6EEB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23" w:type="dxa"/>
        </w:trPr>
        <w:tc>
          <w:tcPr>
            <w:tcW w:w="1742" w:type="dxa"/>
            <w:vMerge w:val="continue"/>
            <w:vAlign w:val="center"/>
          </w:tcPr>
          <w:p w14:paraId="60FE6EE6">
            <w:pPr>
              <w:spacing w:line="560" w:lineRule="exact"/>
              <w:rPr>
                <w:rFonts w:ascii="宋体" w:hAnsi="宋体" w:cs="宋体"/>
                <w:bCs/>
                <w:color w:val="auto"/>
                <w:sz w:val="24"/>
                <w:szCs w:val="24"/>
              </w:rPr>
            </w:pPr>
            <w:bookmarkStart w:id="11" w:name="EB9dfb32703fab48f6b986c32279ab2222"/>
            <w:bookmarkEnd w:id="11"/>
          </w:p>
        </w:tc>
        <w:tc>
          <w:tcPr>
            <w:tcW w:w="2126" w:type="dxa"/>
            <w:gridSpan w:val="2"/>
            <w:tcBorders>
              <w:right w:val="nil"/>
            </w:tcBorders>
            <w:vAlign w:val="center"/>
          </w:tcPr>
          <w:p w14:paraId="224DE841">
            <w:pPr>
              <w:spacing w:line="560" w:lineRule="exact"/>
              <w:rPr>
                <w:rFonts w:ascii="宋体" w:hAnsi="宋体" w:cs="宋体"/>
                <w:bCs/>
                <w:color w:val="auto"/>
                <w:sz w:val="24"/>
                <w:szCs w:val="24"/>
              </w:rPr>
            </w:pPr>
            <w:bookmarkStart w:id="12" w:name="EB92ebc71521c1481d88b8d310ac97a8d7"/>
            <w:bookmarkEnd w:id="12"/>
            <w:r>
              <w:rPr>
                <w:rFonts w:hint="eastAsia" w:ascii="宋体" w:hAnsi="宋体" w:cs="宋体"/>
                <w:bCs/>
                <w:color w:val="auto"/>
                <w:sz w:val="24"/>
                <w:szCs w:val="24"/>
              </w:rPr>
              <w:t>银行账号：</w:t>
            </w:r>
          </w:p>
        </w:tc>
        <w:tc>
          <w:tcPr>
            <w:tcW w:w="6110" w:type="dxa"/>
            <w:gridSpan w:val="2"/>
            <w:tcBorders>
              <w:left w:val="nil"/>
            </w:tcBorders>
            <w:vAlign w:val="center"/>
          </w:tcPr>
          <w:p w14:paraId="5E56BA0B">
            <w:pPr>
              <w:spacing w:line="560" w:lineRule="exact"/>
              <w:rPr>
                <w:rFonts w:ascii="宋体" w:hAnsi="宋体" w:cs="宋体"/>
                <w:bCs/>
                <w:color w:val="auto"/>
                <w:sz w:val="24"/>
                <w:szCs w:val="24"/>
              </w:rPr>
            </w:pPr>
            <w:r>
              <w:rPr>
                <w:rFonts w:ascii="宋体" w:hAnsi="宋体" w:cs="宋体"/>
                <w:bCs/>
                <w:color w:val="auto"/>
                <w:sz w:val="24"/>
                <w:szCs w:val="24"/>
              </w:rPr>
              <w:t>3605 0182 0250 0000 1187</w:t>
            </w:r>
          </w:p>
        </w:tc>
      </w:tr>
      <w:tr w14:paraId="35D5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23" w:type="dxa"/>
        </w:trPr>
        <w:tc>
          <w:tcPr>
            <w:tcW w:w="1742" w:type="dxa"/>
            <w:vAlign w:val="center"/>
          </w:tcPr>
          <w:p w14:paraId="552E00C2">
            <w:pPr>
              <w:spacing w:line="560" w:lineRule="exact"/>
              <w:jc w:val="center"/>
              <w:rPr>
                <w:rFonts w:ascii="宋体" w:hAnsi="宋体" w:cs="宋体"/>
                <w:bCs/>
                <w:color w:val="auto"/>
                <w:sz w:val="24"/>
                <w:szCs w:val="24"/>
              </w:rPr>
            </w:pPr>
            <w:r>
              <w:rPr>
                <w:rFonts w:hint="eastAsia" w:ascii="宋体" w:hAnsi="宋体" w:cs="宋体"/>
                <w:bCs/>
                <w:color w:val="auto"/>
                <w:sz w:val="24"/>
                <w:szCs w:val="24"/>
              </w:rPr>
              <w:t>招标方式</w:t>
            </w:r>
          </w:p>
        </w:tc>
        <w:tc>
          <w:tcPr>
            <w:tcW w:w="8236" w:type="dxa"/>
            <w:gridSpan w:val="4"/>
            <w:vAlign w:val="bottom"/>
          </w:tcPr>
          <w:p w14:paraId="3670F561">
            <w:pPr>
              <w:spacing w:line="560" w:lineRule="exact"/>
              <w:rPr>
                <w:rFonts w:ascii="宋体" w:hAnsi="宋体" w:cs="宋体"/>
                <w:bCs/>
                <w:color w:val="auto"/>
                <w:sz w:val="24"/>
                <w:szCs w:val="24"/>
              </w:rPr>
            </w:pPr>
            <w:bookmarkStart w:id="13" w:name="EB8ce66af99e0742349a596565262ee1d8"/>
            <w:bookmarkEnd w:id="13"/>
            <w:r>
              <w:rPr>
                <w:rFonts w:hint="eastAsia" w:ascii="宋体" w:hAnsi="宋体" w:cs="宋体"/>
                <w:bCs/>
                <w:color w:val="auto"/>
                <w:sz w:val="24"/>
                <w:szCs w:val="24"/>
              </w:rPr>
              <w:t>公开招标选择专业工程施工承包企业</w:t>
            </w:r>
            <w:r>
              <w:rPr>
                <w:rFonts w:hint="eastAsia" w:ascii="宋体" w:hAnsi="宋体" w:cs="宋体"/>
                <w:color w:val="auto"/>
                <w:sz w:val="24"/>
                <w:szCs w:val="24"/>
              </w:rPr>
              <w:t>入驻</w:t>
            </w:r>
            <w:bookmarkStart w:id="14" w:name="EB2b11f4f036c94857837a239bcc5b72cc"/>
            <w:bookmarkEnd w:id="14"/>
          </w:p>
        </w:tc>
      </w:tr>
      <w:tr w14:paraId="0751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23" w:type="dxa"/>
          <w:trHeight w:val="1030" w:hRule="atLeast"/>
        </w:trPr>
        <w:tc>
          <w:tcPr>
            <w:tcW w:w="1742" w:type="dxa"/>
            <w:vAlign w:val="center"/>
          </w:tcPr>
          <w:p w14:paraId="14FA8EAD">
            <w:pPr>
              <w:spacing w:line="440" w:lineRule="exact"/>
              <w:jc w:val="center"/>
              <w:rPr>
                <w:rFonts w:ascii="宋体" w:hAnsi="宋体" w:cs="宋体"/>
                <w:bCs/>
                <w:color w:val="auto"/>
                <w:sz w:val="24"/>
                <w:szCs w:val="24"/>
              </w:rPr>
            </w:pPr>
            <w:r>
              <w:rPr>
                <w:rFonts w:hint="eastAsia" w:ascii="宋体" w:hAnsi="宋体" w:cs="宋体"/>
                <w:bCs/>
                <w:color w:val="auto"/>
                <w:sz w:val="24"/>
                <w:szCs w:val="24"/>
              </w:rPr>
              <w:t>投标单位资质类别和等级</w:t>
            </w:r>
          </w:p>
        </w:tc>
        <w:tc>
          <w:tcPr>
            <w:tcW w:w="8236" w:type="dxa"/>
            <w:gridSpan w:val="4"/>
            <w:vAlign w:val="center"/>
          </w:tcPr>
          <w:p w14:paraId="0A075FA0">
            <w:pPr>
              <w:jc w:val="left"/>
              <w:rPr>
                <w:rFonts w:hint="eastAsia" w:ascii="宋体" w:hAnsi="宋体"/>
                <w:color w:val="auto"/>
                <w:sz w:val="24"/>
                <w:szCs w:val="28"/>
                <w:shd w:val="clear" w:color="auto" w:fill="FFFFFF"/>
              </w:rPr>
            </w:pPr>
            <w:bookmarkStart w:id="15" w:name="EBc2a17cc2bf48405fa1d30db75d331ac9"/>
            <w:bookmarkEnd w:id="15"/>
            <w:r>
              <w:rPr>
                <w:rFonts w:hint="eastAsia" w:ascii="宋体" w:hAnsi="宋体"/>
                <w:color w:val="auto"/>
                <w:sz w:val="24"/>
                <w:szCs w:val="28"/>
                <w:shd w:val="clear" w:color="auto" w:fill="FFFFFF"/>
              </w:rPr>
              <w:t>（1）建筑机电安装工程：具备建筑机电安装工程专业承包三级及以上资质；</w:t>
            </w:r>
          </w:p>
          <w:p w14:paraId="05AC1908">
            <w:pPr>
              <w:jc w:val="left"/>
              <w:rPr>
                <w:rFonts w:hint="eastAsia" w:ascii="宋体" w:hAnsi="宋体"/>
                <w:color w:val="auto"/>
                <w:sz w:val="24"/>
                <w:szCs w:val="28"/>
                <w:shd w:val="clear" w:color="auto" w:fill="FFFFFF"/>
              </w:rPr>
            </w:pPr>
            <w:r>
              <w:rPr>
                <w:rFonts w:hint="eastAsia" w:ascii="宋体" w:hAnsi="宋体"/>
                <w:color w:val="auto"/>
                <w:sz w:val="24"/>
                <w:szCs w:val="28"/>
                <w:shd w:val="clear" w:color="auto" w:fill="FFFFFF"/>
              </w:rPr>
              <w:t>（2）外立面幕墙工程：具备建筑幕墙工程专业承包二级及以上资质；</w:t>
            </w:r>
          </w:p>
          <w:p w14:paraId="48EF509F">
            <w:pPr>
              <w:jc w:val="left"/>
              <w:rPr>
                <w:rFonts w:ascii="宋体" w:hAnsi="宋体"/>
                <w:color w:val="auto"/>
                <w:sz w:val="24"/>
                <w:szCs w:val="28"/>
                <w:shd w:val="clear" w:color="auto" w:fill="FFFFFF"/>
              </w:rPr>
            </w:pPr>
            <w:r>
              <w:rPr>
                <w:rFonts w:hint="eastAsia" w:ascii="宋体" w:hAnsi="宋体"/>
                <w:color w:val="auto"/>
                <w:sz w:val="24"/>
                <w:szCs w:val="28"/>
                <w:shd w:val="clear" w:color="auto" w:fill="FFFFFF"/>
              </w:rPr>
              <w:t>（3）塔吊人货梯工程：具备起重设备安装工程专业承包三级及以上资质。</w:t>
            </w:r>
          </w:p>
        </w:tc>
      </w:tr>
      <w:tr w14:paraId="2E0B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23" w:type="dxa"/>
          <w:trHeight w:val="710" w:hRule="atLeast"/>
        </w:trPr>
        <w:tc>
          <w:tcPr>
            <w:tcW w:w="1742" w:type="dxa"/>
            <w:vAlign w:val="center"/>
          </w:tcPr>
          <w:p w14:paraId="4388E84D">
            <w:pPr>
              <w:spacing w:line="440" w:lineRule="exact"/>
              <w:rPr>
                <w:rFonts w:ascii="宋体" w:hAnsi="宋体" w:cs="宋体"/>
                <w:bCs/>
                <w:color w:val="auto"/>
                <w:sz w:val="24"/>
                <w:szCs w:val="24"/>
              </w:rPr>
            </w:pPr>
            <w:r>
              <w:rPr>
                <w:rFonts w:hint="eastAsia" w:ascii="宋体" w:hAnsi="宋体" w:cs="宋体"/>
                <w:bCs/>
                <w:color w:val="auto"/>
                <w:sz w:val="24"/>
                <w:szCs w:val="24"/>
              </w:rPr>
              <w:t>投标资格审查文件份数</w:t>
            </w:r>
          </w:p>
        </w:tc>
        <w:tc>
          <w:tcPr>
            <w:tcW w:w="8236" w:type="dxa"/>
            <w:gridSpan w:val="4"/>
            <w:vAlign w:val="center"/>
          </w:tcPr>
          <w:p w14:paraId="7A62B970">
            <w:pPr>
              <w:spacing w:line="440" w:lineRule="exact"/>
              <w:jc w:val="left"/>
              <w:rPr>
                <w:rFonts w:ascii="宋体" w:hAnsi="宋体" w:cs="宋体"/>
                <w:bCs/>
                <w:color w:val="auto"/>
                <w:sz w:val="24"/>
                <w:szCs w:val="24"/>
              </w:rPr>
            </w:pPr>
            <w:r>
              <w:rPr>
                <w:rFonts w:hint="eastAsia" w:ascii="宋体" w:hAnsi="宋体" w:cs="宋体"/>
                <w:bCs/>
                <w:color w:val="auto"/>
                <w:sz w:val="24"/>
                <w:szCs w:val="24"/>
              </w:rPr>
              <w:t>电子投标文件一份</w:t>
            </w:r>
            <w:r>
              <w:rPr>
                <w:rFonts w:hint="eastAsia" w:ascii="宋体" w:hAnsi="宋体" w:cs="宋体"/>
                <w:b/>
                <w:color w:val="auto"/>
                <w:sz w:val="24"/>
                <w:szCs w:val="24"/>
              </w:rPr>
              <w:t>（加盖章投标人公章的PDF格式</w:t>
            </w:r>
            <w:r>
              <w:rPr>
                <w:rFonts w:hint="eastAsia" w:ascii="宋体" w:hAnsi="宋体" w:cs="宋体"/>
                <w:bCs/>
                <w:color w:val="auto"/>
                <w:sz w:val="24"/>
                <w:szCs w:val="24"/>
              </w:rPr>
              <w:t>）</w:t>
            </w:r>
          </w:p>
          <w:p w14:paraId="7D56D635">
            <w:pPr>
              <w:spacing w:line="440" w:lineRule="exact"/>
              <w:ind w:right="160"/>
              <w:rPr>
                <w:rFonts w:ascii="宋体" w:hAnsi="宋体" w:cs="宋体"/>
                <w:bCs/>
                <w:color w:val="auto"/>
                <w:sz w:val="24"/>
                <w:szCs w:val="24"/>
              </w:rPr>
            </w:pPr>
            <w:r>
              <w:rPr>
                <w:rFonts w:hint="eastAsia" w:ascii="宋体" w:hAnsi="宋体" w:cs="宋体"/>
                <w:bCs/>
                <w:color w:val="auto"/>
                <w:sz w:val="24"/>
                <w:szCs w:val="24"/>
              </w:rPr>
              <w:t>注明：如投多个专业，需分开制作并上传投标文件。</w:t>
            </w:r>
          </w:p>
        </w:tc>
      </w:tr>
      <w:tr w14:paraId="28E8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23" w:type="dxa"/>
          <w:trHeight w:val="545" w:hRule="atLeast"/>
        </w:trPr>
        <w:tc>
          <w:tcPr>
            <w:tcW w:w="1742" w:type="dxa"/>
            <w:vMerge w:val="restart"/>
            <w:vAlign w:val="center"/>
          </w:tcPr>
          <w:p w14:paraId="5866BA9B">
            <w:pPr>
              <w:spacing w:line="560" w:lineRule="exact"/>
              <w:jc w:val="center"/>
              <w:rPr>
                <w:rFonts w:ascii="宋体" w:hAnsi="宋体" w:cs="宋体"/>
                <w:color w:val="auto"/>
                <w:sz w:val="24"/>
                <w:szCs w:val="24"/>
              </w:rPr>
            </w:pPr>
            <w:r>
              <w:rPr>
                <w:rFonts w:hint="eastAsia" w:ascii="宋体" w:hAnsi="宋体" w:cs="宋体"/>
                <w:color w:val="auto"/>
                <w:sz w:val="24"/>
                <w:szCs w:val="24"/>
              </w:rPr>
              <w:t>投标资格审查文件递交</w:t>
            </w:r>
          </w:p>
        </w:tc>
        <w:tc>
          <w:tcPr>
            <w:tcW w:w="8236" w:type="dxa"/>
            <w:gridSpan w:val="4"/>
            <w:tcBorders>
              <w:bottom w:val="nil"/>
            </w:tcBorders>
            <w:vAlign w:val="center"/>
          </w:tcPr>
          <w:p w14:paraId="29EA48AB">
            <w:pPr>
              <w:spacing w:line="440" w:lineRule="exact"/>
              <w:jc w:val="left"/>
              <w:rPr>
                <w:rFonts w:ascii="宋体" w:hAnsi="宋体" w:cs="宋体"/>
                <w:bCs/>
                <w:color w:val="auto"/>
                <w:sz w:val="24"/>
                <w:szCs w:val="24"/>
              </w:rPr>
            </w:pPr>
            <w:bookmarkStart w:id="16" w:name="EB308576f070a248edb7f4fac566488a7f"/>
            <w:bookmarkEnd w:id="16"/>
            <w:r>
              <w:rPr>
                <w:rFonts w:hint="eastAsia" w:ascii="宋体" w:hAnsi="宋体" w:cs="宋体"/>
                <w:bCs/>
                <w:color w:val="auto"/>
                <w:sz w:val="24"/>
                <w:szCs w:val="24"/>
              </w:rPr>
              <w:t>投标单位必须在审查截止时间前将电子投标文件</w:t>
            </w:r>
            <w:r>
              <w:rPr>
                <w:rFonts w:hint="eastAsia" w:ascii="宋体" w:hAnsi="宋体" w:cs="宋体"/>
                <w:b/>
                <w:color w:val="auto"/>
                <w:sz w:val="24"/>
                <w:szCs w:val="24"/>
              </w:rPr>
              <w:t>（加盖章投标人公章的PDF格式</w:t>
            </w:r>
            <w:r>
              <w:rPr>
                <w:rFonts w:hint="eastAsia" w:ascii="宋体" w:hAnsi="宋体" w:cs="宋体"/>
                <w:bCs/>
                <w:color w:val="auto"/>
                <w:sz w:val="24"/>
                <w:szCs w:val="24"/>
              </w:rPr>
              <w:t>）上传至“</w:t>
            </w:r>
            <w:r>
              <w:rPr>
                <w:rFonts w:hint="eastAsia" w:ascii="宋体" w:hAnsi="宋体" w:cs="宋体"/>
                <w:color w:val="auto"/>
                <w:sz w:val="24"/>
                <w:szCs w:val="24"/>
              </w:rPr>
              <w:t>江西省国有企业采购服务平台</w:t>
            </w:r>
            <w:r>
              <w:rPr>
                <w:rFonts w:hint="eastAsia" w:ascii="宋体" w:hAnsi="宋体" w:cs="宋体"/>
                <w:bCs/>
                <w:color w:val="auto"/>
                <w:sz w:val="24"/>
                <w:szCs w:val="24"/>
              </w:rPr>
              <w:t>”（https://www.jxgqcg.com/）备注：</w:t>
            </w:r>
          </w:p>
          <w:p w14:paraId="1633F459">
            <w:pPr>
              <w:spacing w:line="440" w:lineRule="exact"/>
              <w:jc w:val="left"/>
              <w:rPr>
                <w:rFonts w:ascii="宋体" w:hAnsi="宋体" w:cs="宋体"/>
                <w:bCs/>
                <w:color w:val="auto"/>
                <w:sz w:val="24"/>
                <w:szCs w:val="24"/>
              </w:rPr>
            </w:pPr>
            <w:r>
              <w:rPr>
                <w:rFonts w:hint="eastAsia" w:ascii="宋体" w:hAnsi="宋体" w:cs="宋体"/>
                <w:bCs/>
                <w:color w:val="auto"/>
                <w:sz w:val="24"/>
                <w:szCs w:val="24"/>
              </w:rPr>
              <w:t>（1）全流程电子化相关问题可拨打咨询电话：400-8566-100（注册咨询电话，晚上21：00前）或咨询在线客服（QQ：2307583988、811028657、3132922569）。</w:t>
            </w:r>
          </w:p>
          <w:p w14:paraId="1425DC4E">
            <w:pPr>
              <w:spacing w:line="440" w:lineRule="exact"/>
              <w:rPr>
                <w:rFonts w:ascii="宋体" w:hAnsi="宋体" w:cs="宋体"/>
                <w:color w:val="auto"/>
                <w:sz w:val="24"/>
                <w:szCs w:val="24"/>
              </w:rPr>
            </w:pPr>
          </w:p>
        </w:tc>
      </w:tr>
      <w:tr w14:paraId="7EE1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42" w:type="dxa"/>
            <w:vMerge w:val="continue"/>
            <w:vAlign w:val="center"/>
          </w:tcPr>
          <w:p w14:paraId="565D87F3">
            <w:pPr>
              <w:spacing w:line="560" w:lineRule="exact"/>
              <w:jc w:val="center"/>
              <w:rPr>
                <w:rFonts w:ascii="宋体" w:hAnsi="宋体" w:cs="宋体"/>
                <w:bCs/>
                <w:color w:val="auto"/>
                <w:sz w:val="24"/>
                <w:szCs w:val="24"/>
              </w:rPr>
            </w:pPr>
          </w:p>
        </w:tc>
        <w:tc>
          <w:tcPr>
            <w:tcW w:w="8236" w:type="dxa"/>
            <w:gridSpan w:val="4"/>
            <w:tcBorders>
              <w:top w:val="nil"/>
            </w:tcBorders>
            <w:vAlign w:val="center"/>
          </w:tcPr>
          <w:p w14:paraId="12EADC58">
            <w:pPr>
              <w:spacing w:line="440" w:lineRule="exact"/>
              <w:rPr>
                <w:rFonts w:ascii="宋体" w:hAnsi="宋体" w:cs="宋体"/>
                <w:bCs/>
                <w:color w:val="auto"/>
                <w:sz w:val="24"/>
                <w:szCs w:val="24"/>
              </w:rPr>
            </w:pPr>
            <w:r>
              <w:rPr>
                <w:rFonts w:hint="eastAsia" w:ascii="宋体" w:hAnsi="宋体" w:cs="宋体"/>
                <w:bCs/>
                <w:color w:val="auto"/>
                <w:sz w:val="24"/>
                <w:szCs w:val="24"/>
              </w:rPr>
              <w:t>截止时间：</w:t>
            </w:r>
            <w:r>
              <w:rPr>
                <w:rFonts w:ascii="宋体" w:hAnsi="宋体" w:cs="宋体"/>
                <w:bCs/>
                <w:color w:val="auto"/>
                <w:sz w:val="24"/>
                <w:szCs w:val="24"/>
              </w:rPr>
              <w:t>2026</w:t>
            </w:r>
            <w:r>
              <w:rPr>
                <w:rFonts w:hint="eastAsia" w:ascii="宋体" w:hAnsi="宋体" w:cs="宋体"/>
                <w:bCs/>
                <w:color w:val="auto"/>
                <w:sz w:val="24"/>
                <w:szCs w:val="24"/>
              </w:rPr>
              <w:t>年</w:t>
            </w:r>
            <w:r>
              <w:rPr>
                <w:rFonts w:ascii="宋体" w:hAnsi="宋体" w:cs="宋体"/>
                <w:bCs/>
                <w:color w:val="auto"/>
                <w:sz w:val="24"/>
                <w:szCs w:val="24"/>
              </w:rPr>
              <w:t>4</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21</w:t>
            </w:r>
            <w:r>
              <w:rPr>
                <w:rFonts w:hint="eastAsia" w:ascii="宋体" w:hAnsi="宋体" w:cs="宋体"/>
                <w:bCs/>
                <w:color w:val="auto"/>
                <w:sz w:val="24"/>
                <w:szCs w:val="24"/>
              </w:rPr>
              <w:t>日</w:t>
            </w:r>
            <w:r>
              <w:rPr>
                <w:rFonts w:hint="eastAsia" w:ascii="宋体" w:hAnsi="宋体" w:cs="宋体"/>
                <w:bCs/>
                <w:color w:val="auto"/>
                <w:sz w:val="24"/>
                <w:szCs w:val="24"/>
                <w:lang w:eastAsia="zh-CN"/>
              </w:rPr>
              <w:t>上午</w:t>
            </w:r>
            <w:r>
              <w:rPr>
                <w:rFonts w:hint="eastAsia" w:ascii="宋体" w:hAnsi="宋体" w:cs="宋体"/>
                <w:bCs/>
                <w:color w:val="auto"/>
                <w:sz w:val="24"/>
                <w:szCs w:val="24"/>
              </w:rPr>
              <w:t>9</w:t>
            </w:r>
            <w:r>
              <w:rPr>
                <w:rFonts w:ascii="宋体" w:hAnsi="宋体" w:cs="宋体"/>
                <w:bCs/>
                <w:color w:val="auto"/>
                <w:sz w:val="24"/>
                <w:szCs w:val="24"/>
              </w:rPr>
              <w:t>时</w:t>
            </w:r>
            <w:r>
              <w:rPr>
                <w:rFonts w:hint="eastAsia" w:ascii="宋体" w:hAnsi="宋体" w:cs="宋体"/>
                <w:bCs/>
                <w:color w:val="auto"/>
                <w:sz w:val="24"/>
                <w:szCs w:val="24"/>
              </w:rPr>
              <w:t>3</w:t>
            </w:r>
            <w:r>
              <w:rPr>
                <w:rFonts w:ascii="宋体" w:hAnsi="宋体" w:cs="宋体"/>
                <w:bCs/>
                <w:color w:val="auto"/>
                <w:sz w:val="24"/>
                <w:szCs w:val="24"/>
              </w:rPr>
              <w:t>0分前</w:t>
            </w:r>
          </w:p>
        </w:tc>
        <w:tc>
          <w:tcPr>
            <w:tcW w:w="1223" w:type="dxa"/>
            <w:tcBorders>
              <w:top w:val="nil"/>
              <w:bottom w:val="nil"/>
            </w:tcBorders>
            <w:vAlign w:val="center"/>
          </w:tcPr>
          <w:p w14:paraId="092DF5BE">
            <w:pPr>
              <w:spacing w:line="440" w:lineRule="exact"/>
              <w:rPr>
                <w:rFonts w:ascii="宋体" w:hAnsi="宋体" w:cs="宋体"/>
                <w:bCs/>
                <w:color w:val="auto"/>
                <w:sz w:val="24"/>
                <w:szCs w:val="24"/>
              </w:rPr>
            </w:pPr>
          </w:p>
        </w:tc>
      </w:tr>
      <w:tr w14:paraId="1BCE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23" w:type="dxa"/>
        </w:trPr>
        <w:tc>
          <w:tcPr>
            <w:tcW w:w="1742" w:type="dxa"/>
            <w:vAlign w:val="center"/>
          </w:tcPr>
          <w:p w14:paraId="0852BAB4">
            <w:pPr>
              <w:spacing w:line="560" w:lineRule="exact"/>
              <w:jc w:val="center"/>
              <w:rPr>
                <w:rFonts w:ascii="宋体" w:hAnsi="宋体" w:cs="宋体"/>
                <w:bCs/>
                <w:color w:val="auto"/>
                <w:sz w:val="24"/>
                <w:szCs w:val="24"/>
              </w:rPr>
            </w:pPr>
            <w:r>
              <w:rPr>
                <w:rFonts w:hint="eastAsia" w:ascii="宋体" w:hAnsi="宋体" w:cs="宋体"/>
                <w:bCs/>
                <w:color w:val="auto"/>
                <w:sz w:val="24"/>
                <w:szCs w:val="24"/>
              </w:rPr>
              <w:t>审查时间</w:t>
            </w:r>
          </w:p>
        </w:tc>
        <w:tc>
          <w:tcPr>
            <w:tcW w:w="8236" w:type="dxa"/>
            <w:gridSpan w:val="4"/>
            <w:vAlign w:val="bottom"/>
          </w:tcPr>
          <w:p w14:paraId="2F9DC48D">
            <w:pPr>
              <w:spacing w:line="560" w:lineRule="exact"/>
              <w:rPr>
                <w:rFonts w:ascii="宋体" w:hAnsi="宋体" w:cs="宋体"/>
                <w:bCs/>
                <w:color w:val="auto"/>
                <w:sz w:val="24"/>
                <w:szCs w:val="24"/>
              </w:rPr>
            </w:pPr>
            <w:bookmarkStart w:id="17" w:name="EBfc5076e183e94c25abc6b20a991faa0d"/>
            <w:bookmarkEnd w:id="17"/>
            <w:r>
              <w:rPr>
                <w:rFonts w:ascii="宋体" w:hAnsi="宋体" w:cs="宋体"/>
                <w:bCs/>
                <w:color w:val="auto"/>
                <w:sz w:val="24"/>
                <w:szCs w:val="24"/>
              </w:rPr>
              <w:t>2026</w:t>
            </w:r>
            <w:r>
              <w:rPr>
                <w:rFonts w:hint="eastAsia" w:ascii="宋体" w:hAnsi="宋体" w:cs="宋体"/>
                <w:bCs/>
                <w:color w:val="auto"/>
                <w:sz w:val="24"/>
                <w:szCs w:val="24"/>
              </w:rPr>
              <w:t>年</w:t>
            </w:r>
            <w:r>
              <w:rPr>
                <w:rFonts w:ascii="宋体" w:hAnsi="宋体" w:cs="宋体"/>
                <w:bCs/>
                <w:color w:val="auto"/>
                <w:sz w:val="24"/>
                <w:szCs w:val="24"/>
                <w:u w:val="single"/>
              </w:rPr>
              <w:t>4</w:t>
            </w:r>
            <w:r>
              <w:rPr>
                <w:rFonts w:hint="eastAsia" w:ascii="宋体" w:hAnsi="宋体" w:cs="宋体"/>
                <w:bCs/>
                <w:color w:val="auto"/>
                <w:sz w:val="24"/>
                <w:szCs w:val="24"/>
              </w:rPr>
              <w:t>月</w:t>
            </w:r>
            <w:r>
              <w:rPr>
                <w:rFonts w:hint="eastAsia" w:ascii="宋体" w:hAnsi="宋体" w:cs="宋体"/>
                <w:bCs/>
                <w:color w:val="auto"/>
                <w:sz w:val="24"/>
                <w:szCs w:val="24"/>
                <w:u w:val="single"/>
                <w:lang w:val="en-US" w:eastAsia="zh-CN"/>
              </w:rPr>
              <w:t>21</w:t>
            </w:r>
            <w:r>
              <w:rPr>
                <w:rFonts w:hint="eastAsia" w:ascii="宋体" w:hAnsi="宋体" w:cs="宋体"/>
                <w:bCs/>
                <w:color w:val="auto"/>
                <w:sz w:val="24"/>
                <w:szCs w:val="24"/>
              </w:rPr>
              <w:t>日</w:t>
            </w:r>
            <w:r>
              <w:rPr>
                <w:rFonts w:hint="eastAsia" w:ascii="宋体" w:hAnsi="宋体" w:cs="宋体"/>
                <w:bCs/>
                <w:color w:val="auto"/>
                <w:sz w:val="24"/>
                <w:szCs w:val="24"/>
                <w:lang w:eastAsia="zh-CN"/>
              </w:rPr>
              <w:t>上午</w:t>
            </w:r>
            <w:r>
              <w:rPr>
                <w:rFonts w:ascii="宋体" w:hAnsi="宋体" w:cs="宋体"/>
                <w:bCs/>
                <w:color w:val="auto"/>
                <w:sz w:val="24"/>
                <w:szCs w:val="24"/>
              </w:rPr>
              <w:t>9时</w:t>
            </w:r>
            <w:r>
              <w:rPr>
                <w:rFonts w:hint="eastAsia" w:ascii="宋体" w:hAnsi="宋体" w:cs="宋体"/>
                <w:bCs/>
                <w:color w:val="auto"/>
                <w:sz w:val="24"/>
                <w:szCs w:val="24"/>
              </w:rPr>
              <w:t>3</w:t>
            </w:r>
            <w:r>
              <w:rPr>
                <w:rFonts w:ascii="宋体" w:hAnsi="宋体" w:cs="宋体"/>
                <w:bCs/>
                <w:color w:val="auto"/>
                <w:sz w:val="24"/>
                <w:szCs w:val="24"/>
              </w:rPr>
              <w:t>0分后</w:t>
            </w:r>
          </w:p>
        </w:tc>
      </w:tr>
    </w:tbl>
    <w:p w14:paraId="2ECA51E4">
      <w:pPr>
        <w:pStyle w:val="36"/>
        <w:ind w:firstLine="0" w:firstLineChars="0"/>
        <w:rPr>
          <w:color w:val="auto"/>
        </w:rPr>
      </w:pPr>
    </w:p>
    <w:p w14:paraId="4C82405B">
      <w:pPr>
        <w:spacing w:line="440" w:lineRule="exact"/>
        <w:ind w:firstLine="480" w:firstLineChars="200"/>
        <w:rPr>
          <w:rFonts w:ascii="宋体" w:hAnsi="宋体" w:cs="宋体"/>
          <w:bCs/>
          <w:color w:val="auto"/>
          <w:sz w:val="24"/>
          <w:szCs w:val="24"/>
        </w:rPr>
      </w:pPr>
      <w:r>
        <w:rPr>
          <w:rFonts w:hint="eastAsia" w:ascii="宋体" w:hAnsi="宋体" w:cs="宋体"/>
          <w:bCs/>
          <w:color w:val="auto"/>
          <w:sz w:val="24"/>
          <w:szCs w:val="24"/>
        </w:rPr>
        <w:t>（三）招标范围</w:t>
      </w:r>
    </w:p>
    <w:p w14:paraId="33A8157E">
      <w:pPr>
        <w:spacing w:line="440" w:lineRule="exact"/>
        <w:ind w:firstLine="645"/>
        <w:rPr>
          <w:rFonts w:ascii="宋体" w:hAnsi="宋体" w:cs="宋体"/>
          <w:bCs/>
          <w:color w:val="auto"/>
          <w:sz w:val="24"/>
          <w:szCs w:val="24"/>
          <w:u w:val="single"/>
        </w:rPr>
      </w:pPr>
      <w:r>
        <w:rPr>
          <w:rFonts w:hint="eastAsia" w:ascii="宋体" w:hAnsi="宋体" w:cs="宋体"/>
          <w:bCs/>
          <w:color w:val="auto"/>
          <w:sz w:val="24"/>
          <w:szCs w:val="24"/>
        </w:rPr>
        <w:t>1、本工程招标范围：</w:t>
      </w:r>
      <w:bookmarkStart w:id="18" w:name="EBc190df9638cd4a43a13706e78075e2de"/>
      <w:bookmarkEnd w:id="18"/>
      <w:r>
        <w:rPr>
          <w:rFonts w:hint="eastAsia" w:ascii="宋体" w:hAnsi="宋体" w:cs="宋体"/>
          <w:bCs/>
          <w:color w:val="auto"/>
          <w:sz w:val="24"/>
          <w:szCs w:val="24"/>
          <w:u w:val="single"/>
        </w:rPr>
        <w:t>2026年度丰城新城投建工集团有限公司专业工程施工承包企业</w:t>
      </w:r>
      <w:r>
        <w:rPr>
          <w:rFonts w:hint="eastAsia" w:ascii="宋体" w:hAnsi="宋体" w:cs="宋体"/>
          <w:bCs/>
          <w:color w:val="auto"/>
          <w:spacing w:val="8"/>
          <w:sz w:val="24"/>
          <w:szCs w:val="24"/>
          <w:u w:val="single"/>
          <w:shd w:val="clear" w:color="auto" w:fill="FFFFFF"/>
        </w:rPr>
        <w:t>。</w:t>
      </w:r>
    </w:p>
    <w:p w14:paraId="0618B12E">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（四）资格审查采用合格制。</w:t>
      </w:r>
    </w:p>
    <w:p w14:paraId="6E2F8778">
      <w:pPr>
        <w:pStyle w:val="26"/>
        <w:shd w:val="clear" w:color="auto" w:fill="FFFFFF"/>
        <w:spacing w:line="440" w:lineRule="exact"/>
        <w:ind w:firstLine="882" w:firstLineChars="300"/>
        <w:jc w:val="both"/>
        <w:rPr>
          <w:rFonts w:hint="default" w:ascii="宋体" w:hAnsi="宋体" w:eastAsia="宋体" w:cs="宋体"/>
          <w:color w:val="auto"/>
          <w:spacing w:val="27"/>
          <w:shd w:val="clear" w:color="auto" w:fill="FFFFFF"/>
        </w:rPr>
      </w:pPr>
      <w:r>
        <w:rPr>
          <w:rFonts w:ascii="宋体" w:hAnsi="宋体" w:eastAsia="宋体" w:cs="宋体"/>
          <w:color w:val="auto"/>
          <w:spacing w:val="27"/>
          <w:szCs w:val="24"/>
          <w:shd w:val="clear" w:color="auto" w:fill="FFFFFF"/>
        </w:rPr>
        <w:t>1、</w:t>
      </w:r>
      <w:r>
        <w:rPr>
          <w:rFonts w:ascii="宋体" w:hAnsi="宋体" w:eastAsia="宋体" w:cs="宋体"/>
          <w:color w:val="auto"/>
          <w:spacing w:val="27"/>
          <w:shd w:val="clear" w:color="auto" w:fill="FFFFFF"/>
        </w:rPr>
        <w:t>当</w:t>
      </w:r>
      <w:r>
        <w:rPr>
          <w:rFonts w:ascii="宋体" w:hAnsi="宋体" w:eastAsia="宋体" w:cs="宋体"/>
          <w:color w:val="auto"/>
          <w:spacing w:val="27"/>
          <w:szCs w:val="24"/>
          <w:shd w:val="clear" w:color="auto" w:fill="FFFFFF"/>
        </w:rPr>
        <w:t>各专业工程施工承包企业</w:t>
      </w:r>
      <w:r>
        <w:rPr>
          <w:rFonts w:ascii="宋体" w:hAnsi="宋体" w:eastAsia="宋体" w:cs="宋体"/>
          <w:color w:val="auto"/>
          <w:spacing w:val="27"/>
          <w:shd w:val="clear" w:color="auto" w:fill="FFFFFF"/>
        </w:rPr>
        <w:t>报名家数分别在15家以内时（含15家），并且全部符合邀请方资格要求时，则均参与考察评分；当各专业工程施工承包企业报名家数分别在15家以上时，采用现场随机抽取的方式抽取15家参与资格审查，并在合格单位中确定15家参与考察评分单位，当参与考察评分单位不足15家时，再从报名单位中随机抽取递补进行资格审查。</w:t>
      </w:r>
    </w:p>
    <w:p w14:paraId="2D1FCA0B">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（五）其他规定</w:t>
      </w:r>
    </w:p>
    <w:p w14:paraId="36D652FC">
      <w:pPr>
        <w:spacing w:line="440" w:lineRule="exact"/>
        <w:ind w:firstLine="640"/>
        <w:rPr>
          <w:rFonts w:ascii="宋体" w:hAnsi="宋体" w:cs="宋体"/>
          <w:color w:val="auto"/>
          <w:sz w:val="24"/>
          <w:szCs w:val="24"/>
        </w:rPr>
      </w:pPr>
      <w:r>
        <w:rPr>
          <w:rFonts w:hint="eastAsia" w:ascii="宋体" w:hAnsi="宋体" w:cs="宋体"/>
          <w:color w:val="auto"/>
          <w:sz w:val="24"/>
          <w:szCs w:val="24"/>
        </w:rPr>
        <w:t>1、投标申请人应承担其编制投标资格送审文件与递交投标资格送审文件所涉及的一切费用，不论审查结果如何，邀请方对上述费用不负任何责任。</w:t>
      </w:r>
    </w:p>
    <w:p w14:paraId="38A17041">
      <w:pPr>
        <w:spacing w:line="440" w:lineRule="exact"/>
        <w:ind w:firstLine="720" w:firstLineChars="300"/>
        <w:rPr>
          <w:rFonts w:ascii="宋体" w:hAnsi="宋体" w:cs="宋体"/>
          <w:color w:val="auto"/>
          <w:sz w:val="24"/>
          <w:szCs w:val="24"/>
        </w:rPr>
      </w:pPr>
      <w:r>
        <w:rPr>
          <w:rFonts w:hint="eastAsia" w:ascii="宋体" w:hAnsi="宋体" w:cs="宋体"/>
          <w:color w:val="auto"/>
          <w:sz w:val="24"/>
          <w:szCs w:val="24"/>
        </w:rPr>
        <w:t>2、邀请方允许投标人自行选择标段投标。</w:t>
      </w:r>
    </w:p>
    <w:p w14:paraId="10AF8607">
      <w:pPr>
        <w:spacing w:line="440" w:lineRule="exact"/>
        <w:ind w:firstLine="720" w:firstLineChars="300"/>
        <w:rPr>
          <w:rFonts w:ascii="宋体" w:hAnsi="宋体" w:cs="宋体"/>
          <w:color w:val="auto"/>
          <w:sz w:val="24"/>
          <w:szCs w:val="24"/>
        </w:rPr>
      </w:pPr>
      <w:r>
        <w:rPr>
          <w:rFonts w:hint="eastAsia" w:ascii="宋体" w:hAnsi="宋体" w:cs="宋体"/>
          <w:color w:val="auto"/>
          <w:sz w:val="24"/>
          <w:szCs w:val="24"/>
        </w:rPr>
        <w:t>3、本工程不接受联合体投标。</w:t>
      </w:r>
    </w:p>
    <w:p w14:paraId="38F5523F">
      <w:pPr>
        <w:spacing w:line="440" w:lineRule="exact"/>
        <w:ind w:firstLine="562" w:firstLineChars="200"/>
        <w:outlineLvl w:val="0"/>
        <w:rPr>
          <w:rFonts w:ascii="宋体" w:hAnsi="宋体" w:cs="宋体"/>
          <w:b/>
          <w:color w:val="auto"/>
          <w:sz w:val="28"/>
          <w:szCs w:val="28"/>
        </w:rPr>
      </w:pPr>
      <w:bookmarkStart w:id="19" w:name="_Toc473985197"/>
      <w:r>
        <w:rPr>
          <w:rFonts w:hint="eastAsia" w:ascii="宋体" w:hAnsi="宋体" w:cs="宋体"/>
          <w:b/>
          <w:color w:val="auto"/>
          <w:sz w:val="28"/>
          <w:szCs w:val="28"/>
        </w:rPr>
        <w:t>二、投标资格审查条件设置和要求</w:t>
      </w:r>
      <w:bookmarkEnd w:id="19"/>
    </w:p>
    <w:p w14:paraId="5C5F24E0">
      <w:pPr>
        <w:pStyle w:val="26"/>
        <w:shd w:val="clear" w:color="auto" w:fill="FFFFFF"/>
        <w:spacing w:line="420" w:lineRule="exact"/>
        <w:ind w:left="420" w:firstLine="420"/>
        <w:jc w:val="both"/>
        <w:rPr>
          <w:rFonts w:hint="default" w:ascii="黑体" w:hAnsi="黑体" w:eastAsia="黑体" w:cs="黑体"/>
          <w:b/>
          <w:color w:val="auto"/>
          <w:spacing w:val="27"/>
          <w:shd w:val="clear" w:color="auto" w:fill="FFFFFF"/>
        </w:rPr>
      </w:pPr>
      <w:r>
        <w:rPr>
          <w:rFonts w:ascii="黑体" w:hAnsi="黑体" w:eastAsia="黑体" w:cs="黑体"/>
          <w:b/>
          <w:color w:val="auto"/>
          <w:spacing w:val="27"/>
          <w:shd w:val="clear" w:color="auto" w:fill="FFFFFF"/>
        </w:rPr>
        <w:t>1、具有独立的法人资格；</w:t>
      </w:r>
    </w:p>
    <w:p w14:paraId="19211DB5">
      <w:pPr>
        <w:pStyle w:val="26"/>
        <w:shd w:val="clear" w:color="auto" w:fill="FFFFFF"/>
        <w:spacing w:line="420" w:lineRule="exact"/>
        <w:ind w:left="420" w:firstLine="420"/>
        <w:jc w:val="both"/>
        <w:rPr>
          <w:rFonts w:hint="default" w:ascii="宋体" w:hAnsi="宋体" w:eastAsia="宋体" w:cs="宋体"/>
          <w:color w:val="auto"/>
          <w:szCs w:val="24"/>
        </w:rPr>
      </w:pPr>
      <w:r>
        <w:rPr>
          <w:rFonts w:ascii="宋体" w:hAnsi="宋体" w:eastAsia="宋体" w:cs="宋体"/>
          <w:color w:val="auto"/>
          <w:szCs w:val="24"/>
        </w:rPr>
        <w:t>评审依据：审查投标单位营业执照的有效性。</w:t>
      </w:r>
    </w:p>
    <w:p w14:paraId="20E3D09A">
      <w:pPr>
        <w:pStyle w:val="26"/>
        <w:shd w:val="clear" w:color="auto" w:fill="FFFFFF"/>
        <w:spacing w:line="420" w:lineRule="exact"/>
        <w:ind w:left="420" w:firstLine="420"/>
        <w:jc w:val="both"/>
        <w:rPr>
          <w:rFonts w:hint="default" w:ascii="黑体" w:hAnsi="黑体" w:eastAsia="黑体" w:cs="黑体"/>
          <w:b/>
          <w:bCs/>
          <w:color w:val="auto"/>
          <w:spacing w:val="27"/>
          <w:shd w:val="clear" w:color="auto" w:fill="FFFFFF"/>
        </w:rPr>
      </w:pPr>
      <w:r>
        <w:rPr>
          <w:rFonts w:ascii="黑体" w:hAnsi="黑体" w:eastAsia="黑体" w:cs="黑体"/>
          <w:b/>
          <w:color w:val="auto"/>
          <w:szCs w:val="24"/>
        </w:rPr>
        <w:t>2、</w:t>
      </w:r>
      <w:r>
        <w:rPr>
          <w:rFonts w:ascii="黑体" w:hAnsi="黑体" w:eastAsia="黑体" w:cs="黑体"/>
          <w:b/>
          <w:color w:val="auto"/>
          <w:spacing w:val="27"/>
          <w:shd w:val="clear" w:color="auto" w:fill="FFFFFF"/>
        </w:rPr>
        <w:t>具备安全生产许可证</w:t>
      </w:r>
      <w:r>
        <w:rPr>
          <w:rFonts w:ascii="黑体" w:hAnsi="黑体" w:eastAsia="黑体" w:cs="黑体"/>
          <w:b/>
          <w:bCs/>
          <w:color w:val="auto"/>
          <w:spacing w:val="27"/>
          <w:szCs w:val="24"/>
          <w:shd w:val="clear" w:color="auto" w:fill="FFFFFF"/>
        </w:rPr>
        <w:t>；</w:t>
      </w:r>
    </w:p>
    <w:p w14:paraId="04D50DB7">
      <w:pPr>
        <w:spacing w:line="440" w:lineRule="exact"/>
        <w:ind w:left="420" w:firstLine="420"/>
        <w:rPr>
          <w:rFonts w:ascii="宋体" w:hAnsi="宋体" w:cs="宋体"/>
          <w:color w:val="auto"/>
          <w:sz w:val="24"/>
          <w:szCs w:val="24"/>
        </w:rPr>
      </w:pPr>
      <w:r>
        <w:rPr>
          <w:rFonts w:hint="eastAsia" w:ascii="宋体" w:hAnsi="宋体" w:cs="宋体"/>
          <w:color w:val="auto"/>
          <w:sz w:val="24"/>
          <w:szCs w:val="24"/>
        </w:rPr>
        <w:t>评审依据：审查行政主管部门颁发的安全生产许可证的有效性。</w:t>
      </w:r>
    </w:p>
    <w:p w14:paraId="1420B032">
      <w:pPr>
        <w:pStyle w:val="26"/>
        <w:shd w:val="clear" w:color="auto" w:fill="FFFFFF"/>
        <w:spacing w:line="440" w:lineRule="exact"/>
        <w:ind w:firstLine="885" w:firstLineChars="300"/>
        <w:jc w:val="both"/>
        <w:rPr>
          <w:rFonts w:hint="default" w:ascii="黑体" w:hAnsi="黑体" w:eastAsia="黑体" w:cs="黑体"/>
          <w:color w:val="auto"/>
          <w:spacing w:val="27"/>
          <w:szCs w:val="24"/>
        </w:rPr>
      </w:pPr>
      <w:r>
        <w:rPr>
          <w:rFonts w:ascii="黑体" w:hAnsi="黑体" w:eastAsia="黑体" w:cs="黑体"/>
          <w:b/>
          <w:color w:val="auto"/>
          <w:spacing w:val="27"/>
          <w:szCs w:val="24"/>
          <w:shd w:val="clear" w:color="auto" w:fill="FFFFFF"/>
        </w:rPr>
        <w:t>3、提供近三年经营活动中，无人员上访不良记录、无重大违法记录、无较大质量安全事故的承诺函，若投标人入驻后发现有如上情况将取消其入驻</w:t>
      </w:r>
      <w:r>
        <w:rPr>
          <w:rFonts w:hint="eastAsia" w:ascii="黑体" w:hAnsi="黑体" w:eastAsia="黑体" w:cs="黑体"/>
          <w:b/>
          <w:color w:val="auto"/>
          <w:spacing w:val="27"/>
          <w:szCs w:val="24"/>
          <w:shd w:val="clear" w:color="auto" w:fill="FFFFFF"/>
          <w:lang w:eastAsia="zh-CN"/>
        </w:rPr>
        <w:t>资格</w:t>
      </w:r>
      <w:r>
        <w:rPr>
          <w:rFonts w:ascii="黑体" w:hAnsi="黑体" w:eastAsia="黑体" w:cs="黑体"/>
          <w:b/>
          <w:color w:val="auto"/>
          <w:spacing w:val="27"/>
          <w:szCs w:val="24"/>
          <w:shd w:val="clear" w:color="auto" w:fill="FFFFFF"/>
        </w:rPr>
        <w:t>且其投标保证金将不予退还；（承诺函详见附件1）</w:t>
      </w:r>
    </w:p>
    <w:p w14:paraId="5CAF0134">
      <w:pPr>
        <w:spacing w:line="440" w:lineRule="exact"/>
        <w:ind w:firstLine="960" w:firstLineChars="400"/>
        <w:rPr>
          <w:rFonts w:ascii="宋体" w:hAnsi="宋体" w:cs="宋体"/>
          <w:color w:val="auto"/>
          <w:sz w:val="24"/>
          <w:szCs w:val="24"/>
        </w:rPr>
      </w:pPr>
      <w:r>
        <w:rPr>
          <w:rFonts w:hint="eastAsia" w:ascii="宋体" w:hAnsi="宋体" w:cs="宋体"/>
          <w:color w:val="auto"/>
          <w:sz w:val="24"/>
          <w:szCs w:val="24"/>
        </w:rPr>
        <w:t>评审依据：审查加盖投标单位公章和企业法定代表人签字或签章的承诺书原件扫描件有效性。</w:t>
      </w:r>
    </w:p>
    <w:p w14:paraId="3A091842">
      <w:pPr>
        <w:pStyle w:val="26"/>
        <w:shd w:val="clear" w:color="auto" w:fill="FFFFFF"/>
        <w:spacing w:line="440" w:lineRule="exact"/>
        <w:ind w:firstLine="723" w:firstLineChars="300"/>
        <w:jc w:val="both"/>
        <w:rPr>
          <w:rFonts w:hint="default" w:ascii="黑体" w:hAnsi="黑体" w:eastAsia="黑体" w:cs="黑体"/>
          <w:b/>
          <w:color w:val="auto"/>
          <w:spacing w:val="27"/>
          <w:szCs w:val="24"/>
          <w:shd w:val="clear" w:color="auto" w:fill="FFFFFF"/>
        </w:rPr>
      </w:pPr>
      <w:r>
        <w:rPr>
          <w:rFonts w:ascii="黑体" w:hAnsi="黑体" w:eastAsia="黑体" w:cs="黑体"/>
          <w:b/>
          <w:color w:val="auto"/>
          <w:szCs w:val="24"/>
        </w:rPr>
        <w:t>4、</w:t>
      </w:r>
      <w:r>
        <w:rPr>
          <w:rFonts w:ascii="黑体" w:hAnsi="黑体" w:eastAsia="黑体" w:cs="黑体"/>
          <w:b/>
          <w:color w:val="auto"/>
          <w:spacing w:val="27"/>
          <w:szCs w:val="24"/>
          <w:shd w:val="clear" w:color="auto" w:fill="FFFFFF"/>
        </w:rPr>
        <w:t>拟派注册建造师分别具有相应专业要求的二级及以上资格，关键岗位人员要求；</w:t>
      </w:r>
    </w:p>
    <w:p w14:paraId="1C3F4C11">
      <w:pPr>
        <w:spacing w:line="360" w:lineRule="auto"/>
        <w:ind w:firstLine="720" w:firstLineChars="300"/>
        <w:rPr>
          <w:rFonts w:hint="eastAsia" w:ascii="宋体" w:hAnsi="宋体" w:cs="宋体"/>
          <w:color w:val="auto"/>
          <w:sz w:val="24"/>
          <w:szCs w:val="24"/>
        </w:rPr>
      </w:pPr>
      <w:r>
        <w:rPr>
          <w:rFonts w:hint="eastAsia" w:ascii="宋体" w:hAnsi="宋体" w:eastAsia="宋体" w:cs="宋体"/>
          <w:color w:val="auto"/>
          <w:spacing w:val="0"/>
          <w:sz w:val="24"/>
          <w:shd w:val="clear" w:color="auto" w:fill="FFFFFF"/>
        </w:rPr>
        <w:t>拟派注册建造师分别</w:t>
      </w:r>
      <w:r>
        <w:rPr>
          <w:rFonts w:hint="eastAsia" w:ascii="宋体" w:hAnsi="宋体" w:eastAsia="宋体" w:cs="宋体"/>
          <w:color w:val="auto"/>
          <w:spacing w:val="0"/>
          <w:sz w:val="24"/>
          <w:shd w:val="clear" w:color="auto" w:fill="FFFFFF"/>
          <w:lang w:eastAsia="zh-CN"/>
        </w:rPr>
        <w:t>满足以下要求：</w:t>
      </w:r>
    </w:p>
    <w:p w14:paraId="5F6A25AC">
      <w:pPr>
        <w:spacing w:line="360" w:lineRule="auto"/>
        <w:ind w:firstLine="720" w:firstLineChars="300"/>
        <w:rPr>
          <w:rFonts w:hint="eastAsia" w:ascii="宋体" w:hAnsi="宋体" w:cs="宋体"/>
          <w:color w:val="auto"/>
          <w:sz w:val="24"/>
          <w:szCs w:val="24"/>
        </w:rPr>
      </w:pPr>
      <w:r>
        <w:rPr>
          <w:rFonts w:hint="eastAsia" w:ascii="宋体" w:hAnsi="宋体" w:cs="宋体"/>
          <w:color w:val="auto"/>
          <w:sz w:val="24"/>
          <w:szCs w:val="24"/>
        </w:rPr>
        <w:t>（1）建筑机电安装工程拟派注册建造师具有机电工程专业二级及以上注册资格；</w:t>
      </w:r>
    </w:p>
    <w:p w14:paraId="49AC46E6">
      <w:pPr>
        <w:spacing w:line="360" w:lineRule="auto"/>
        <w:ind w:firstLine="720" w:firstLineChars="300"/>
        <w:rPr>
          <w:rFonts w:hint="eastAsia" w:ascii="宋体" w:hAnsi="宋体" w:cs="宋体"/>
          <w:color w:val="auto"/>
          <w:sz w:val="24"/>
          <w:szCs w:val="24"/>
        </w:rPr>
      </w:pPr>
      <w:r>
        <w:rPr>
          <w:rFonts w:hint="eastAsia" w:ascii="宋体" w:hAnsi="宋体" w:cs="宋体"/>
          <w:color w:val="auto"/>
          <w:sz w:val="24"/>
          <w:szCs w:val="24"/>
        </w:rPr>
        <w:t>（2）外立面幕墙工程拟派注册建造师具有建筑工程专业二级及以上注册资格；</w:t>
      </w:r>
    </w:p>
    <w:p w14:paraId="5D26528B">
      <w:pPr>
        <w:spacing w:line="360" w:lineRule="auto"/>
        <w:ind w:firstLine="720" w:firstLineChars="300"/>
        <w:rPr>
          <w:rFonts w:hint="eastAsia" w:ascii="宋体" w:hAnsi="宋体" w:cs="宋体"/>
          <w:color w:val="auto"/>
          <w:sz w:val="24"/>
          <w:szCs w:val="24"/>
        </w:rPr>
      </w:pPr>
      <w:r>
        <w:rPr>
          <w:rFonts w:hint="eastAsia" w:ascii="宋体" w:hAnsi="宋体" w:cs="宋体"/>
          <w:color w:val="auto"/>
          <w:sz w:val="24"/>
          <w:szCs w:val="24"/>
        </w:rPr>
        <w:t>（3）塔吊人货梯工程不需要提供。</w:t>
      </w:r>
    </w:p>
    <w:p w14:paraId="22907FD8">
      <w:pPr>
        <w:pStyle w:val="28"/>
        <w:ind w:firstLine="720" w:firstLineChars="300"/>
        <w:rPr>
          <w:rFonts w:hint="eastAsia"/>
          <w:color w:val="auto"/>
        </w:rPr>
      </w:pPr>
      <w:r>
        <w:rPr>
          <w:rFonts w:hint="eastAsia" w:ascii="宋体" w:hAnsi="宋体" w:eastAsia="宋体" w:cs="宋体"/>
          <w:color w:val="auto"/>
          <w:sz w:val="24"/>
        </w:rPr>
        <w:t>关键岗位人员要求：</w:t>
      </w:r>
    </w:p>
    <w:p w14:paraId="7B117509">
      <w:pPr>
        <w:spacing w:line="360" w:lineRule="auto"/>
        <w:ind w:firstLine="720" w:firstLineChars="300"/>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1</w:t>
      </w:r>
      <w:r>
        <w:rPr>
          <w:rFonts w:hint="eastAsia" w:ascii="宋体" w:hAnsi="宋体" w:cs="宋体"/>
          <w:color w:val="auto"/>
          <w:sz w:val="24"/>
          <w:szCs w:val="24"/>
        </w:rPr>
        <w:t>）建筑机电安装工程和外立面幕墙工程提供主要管理人员（施工员、质量员 、安全员和资料员）有效上岗证书，且为本单位职工；</w:t>
      </w:r>
    </w:p>
    <w:p w14:paraId="1ACCF32F">
      <w:pPr>
        <w:spacing w:line="360" w:lineRule="auto"/>
        <w:ind w:firstLine="720" w:firstLineChars="300"/>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）塔吊人货梯工程提供专职安全管理人员、塔式起重机安拆工、施工升降机安拆工有效上岗证书，且为本单位职工。</w:t>
      </w:r>
    </w:p>
    <w:p w14:paraId="60A594B4">
      <w:pPr>
        <w:spacing w:line="440" w:lineRule="exact"/>
        <w:ind w:firstLine="720" w:firstLineChars="300"/>
        <w:rPr>
          <w:rFonts w:ascii="宋体" w:hAnsi="宋体" w:cs="宋体"/>
          <w:color w:val="auto"/>
          <w:sz w:val="24"/>
          <w:szCs w:val="24"/>
        </w:rPr>
      </w:pPr>
      <w:r>
        <w:rPr>
          <w:rFonts w:hint="eastAsia" w:ascii="宋体" w:hAnsi="宋体" w:cs="宋体"/>
          <w:color w:val="auto"/>
          <w:sz w:val="24"/>
          <w:szCs w:val="24"/>
        </w:rPr>
        <w:t>评审依据：</w:t>
      </w:r>
      <w:r>
        <w:rPr>
          <w:rFonts w:hint="eastAsia" w:ascii="宋体" w:hAnsi="宋体" w:cs="宋体"/>
          <w:color w:val="auto"/>
          <w:spacing w:val="27"/>
          <w:sz w:val="24"/>
          <w:szCs w:val="24"/>
          <w:shd w:val="clear" w:color="auto" w:fill="FFFFFF"/>
        </w:rPr>
        <w:t>提供上述拟派相应专业建造师注册证书和关键岗位人员岗位证书及资格审查日前6个月社保证明材料的有效性。【如果注册单位变更或新注册人员不满6个月的，应该提供变更注册或新注册当月及以后的社保证明】</w:t>
      </w:r>
      <w:r>
        <w:rPr>
          <w:rFonts w:hint="eastAsia" w:ascii="宋体" w:hAnsi="宋体" w:cs="宋体"/>
          <w:color w:val="auto"/>
          <w:sz w:val="24"/>
          <w:szCs w:val="24"/>
        </w:rPr>
        <w:t>。</w:t>
      </w:r>
    </w:p>
    <w:p w14:paraId="42CB9293">
      <w:pPr>
        <w:pStyle w:val="26"/>
        <w:shd w:val="clear" w:color="auto" w:fill="FFFFFF"/>
        <w:spacing w:line="440" w:lineRule="exact"/>
        <w:ind w:left="420" w:firstLine="295" w:firstLineChars="100"/>
        <w:jc w:val="both"/>
        <w:rPr>
          <w:rFonts w:hint="default" w:ascii="宋体" w:hAnsi="宋体" w:eastAsia="宋体" w:cs="宋体"/>
          <w:color w:val="auto"/>
          <w:spacing w:val="27"/>
          <w:szCs w:val="24"/>
          <w:shd w:val="clear" w:color="auto" w:fill="FFFFFF"/>
        </w:rPr>
      </w:pPr>
      <w:r>
        <w:rPr>
          <w:rFonts w:ascii="黑体" w:hAnsi="黑体" w:eastAsia="黑体" w:cs="黑体"/>
          <w:b/>
          <w:bCs/>
          <w:color w:val="auto"/>
          <w:spacing w:val="27"/>
          <w:szCs w:val="24"/>
          <w:shd w:val="clear" w:color="auto" w:fill="FFFFFF"/>
        </w:rPr>
        <w:t>5、江西省省外进赣的建设工程企业应根据《关于省外进赣建设工程企业实行信息登记管理的通知》（赣建字〔2021〕4号） 规定在“住建云信息登记系统”办理有效的企业进赣信息登记，且本项目拟派人员均须为进赣备案人员：</w:t>
      </w:r>
    </w:p>
    <w:p w14:paraId="5CF10FEF">
      <w:pPr>
        <w:pStyle w:val="26"/>
        <w:shd w:val="clear" w:color="auto" w:fill="FFFFFF"/>
        <w:spacing w:line="440" w:lineRule="exact"/>
        <w:ind w:left="420" w:firstLine="240" w:firstLineChars="100"/>
        <w:jc w:val="both"/>
        <w:rPr>
          <w:rFonts w:hint="default" w:ascii="宋体" w:hAnsi="宋体" w:eastAsia="宋体" w:cs="宋体"/>
          <w:color w:val="auto"/>
          <w:spacing w:val="27"/>
          <w:szCs w:val="24"/>
          <w:shd w:val="clear" w:color="auto" w:fill="FFFFFF"/>
        </w:rPr>
      </w:pPr>
      <w:r>
        <w:rPr>
          <w:rFonts w:ascii="宋体" w:hAnsi="宋体" w:cs="宋体"/>
          <w:color w:val="auto"/>
          <w:szCs w:val="24"/>
        </w:rPr>
        <w:t>评审依据：</w:t>
      </w:r>
      <w:r>
        <w:rPr>
          <w:rFonts w:hint="eastAsia" w:ascii="宋体" w:hAnsi="宋体" w:cs="宋体"/>
          <w:color w:val="auto"/>
          <w:szCs w:val="24"/>
          <w:lang w:eastAsia="zh-CN"/>
        </w:rPr>
        <w:t>提</w:t>
      </w:r>
      <w:r>
        <w:rPr>
          <w:rFonts w:ascii="宋体" w:hAnsi="宋体" w:eastAsia="宋体" w:cs="宋体"/>
          <w:color w:val="auto"/>
          <w:spacing w:val="27"/>
          <w:szCs w:val="24"/>
          <w:shd w:val="clear" w:color="auto" w:fill="FFFFFF"/>
        </w:rPr>
        <w:t>供江西住建云平台</w:t>
      </w:r>
      <w:r>
        <w:rPr>
          <w:rFonts w:hint="default" w:ascii="Arial" w:hAnsi="Arial" w:cs="Arial"/>
          <w:color w:val="auto"/>
          <w:spacing w:val="27"/>
          <w:szCs w:val="24"/>
          <w:shd w:val="clear" w:color="auto" w:fill="FFFFFF"/>
        </w:rPr>
        <w:t>“</w:t>
      </w:r>
      <w:r>
        <w:rPr>
          <w:rFonts w:ascii="宋体" w:hAnsi="宋体" w:eastAsia="宋体" w:cs="宋体"/>
          <w:color w:val="auto"/>
          <w:spacing w:val="27"/>
          <w:szCs w:val="24"/>
          <w:shd w:val="clear" w:color="auto" w:fill="FFFFFF"/>
        </w:rPr>
        <w:t>企业进赣信息及拟派人员进赣信息</w:t>
      </w:r>
      <w:r>
        <w:rPr>
          <w:rFonts w:hint="default" w:ascii="Arial" w:hAnsi="Arial" w:cs="Arial"/>
          <w:color w:val="auto"/>
          <w:spacing w:val="27"/>
          <w:szCs w:val="24"/>
          <w:shd w:val="clear" w:color="auto" w:fill="FFFFFF"/>
        </w:rPr>
        <w:t>”</w:t>
      </w:r>
      <w:r>
        <w:rPr>
          <w:rFonts w:ascii="宋体" w:hAnsi="宋体" w:eastAsia="宋体" w:cs="宋体"/>
          <w:color w:val="auto"/>
          <w:spacing w:val="27"/>
          <w:szCs w:val="24"/>
          <w:shd w:val="clear" w:color="auto" w:fill="FFFFFF"/>
        </w:rPr>
        <w:t>查询截图复印件并加盖投标单位公章。</w:t>
      </w:r>
    </w:p>
    <w:p w14:paraId="0B0B3A95">
      <w:pPr>
        <w:pStyle w:val="26"/>
        <w:shd w:val="clear" w:color="auto" w:fill="FFFFFF"/>
        <w:spacing w:line="440" w:lineRule="exact"/>
        <w:ind w:left="420" w:firstLine="295" w:firstLineChars="100"/>
        <w:jc w:val="both"/>
        <w:rPr>
          <w:rFonts w:hint="default" w:ascii="宋体" w:hAnsi="宋体" w:eastAsia="宋体" w:cs="宋体"/>
          <w:color w:val="auto"/>
          <w:spacing w:val="27"/>
          <w:szCs w:val="24"/>
          <w:shd w:val="clear" w:color="auto" w:fill="FFFFFF"/>
        </w:rPr>
      </w:pPr>
      <w:r>
        <w:rPr>
          <w:rFonts w:ascii="黑体" w:hAnsi="黑体" w:eastAsia="黑体" w:cs="黑体"/>
          <w:b/>
          <w:bCs/>
          <w:color w:val="auto"/>
          <w:spacing w:val="27"/>
          <w:szCs w:val="24"/>
          <w:shd w:val="clear" w:color="auto" w:fill="FFFFFF"/>
        </w:rPr>
        <w:t>6、专业工程入驻企业必须满足相应专业工程资质资格要求：</w:t>
      </w:r>
    </w:p>
    <w:p w14:paraId="275008C5">
      <w:pPr>
        <w:spacing w:line="360" w:lineRule="auto"/>
        <w:ind w:left="122" w:leftChars="58" w:firstLine="480" w:firstLineChars="200"/>
        <w:jc w:val="left"/>
        <w:rPr>
          <w:rFonts w:hint="eastAsia" w:ascii="宋体" w:hAnsi="宋体" w:eastAsia="宋体" w:cs="宋体"/>
          <w:color w:val="auto"/>
          <w:sz w:val="24"/>
          <w:shd w:val="clear" w:color="auto" w:fill="auto"/>
          <w:lang w:eastAsia="zh-CN"/>
        </w:rPr>
      </w:pPr>
      <w:r>
        <w:rPr>
          <w:rFonts w:hint="eastAsia" w:ascii="宋体" w:hAnsi="宋体" w:eastAsia="宋体" w:cs="宋体"/>
          <w:color w:val="auto"/>
          <w:sz w:val="24"/>
          <w:shd w:val="clear" w:color="auto" w:fill="auto"/>
          <w:lang w:eastAsia="zh-CN"/>
        </w:rPr>
        <w:t>（</w:t>
      </w:r>
      <w:r>
        <w:rPr>
          <w:rFonts w:hint="eastAsia" w:ascii="宋体" w:hAnsi="宋体" w:eastAsia="宋体" w:cs="宋体"/>
          <w:color w:val="auto"/>
          <w:sz w:val="24"/>
          <w:shd w:val="clear" w:color="auto" w:fill="auto"/>
          <w:lang w:val="en-US" w:eastAsia="zh-CN"/>
        </w:rPr>
        <w:t>1</w:t>
      </w:r>
      <w:r>
        <w:rPr>
          <w:rFonts w:hint="eastAsia" w:ascii="宋体" w:hAnsi="宋体" w:eastAsia="宋体" w:cs="宋体"/>
          <w:color w:val="auto"/>
          <w:sz w:val="24"/>
          <w:shd w:val="clear" w:color="auto" w:fill="auto"/>
          <w:lang w:eastAsia="zh-CN"/>
        </w:rPr>
        <w:t>）</w:t>
      </w:r>
      <w:r>
        <w:rPr>
          <w:rFonts w:hint="eastAsia" w:ascii="宋体" w:hAnsi="宋体" w:eastAsia="宋体" w:cs="宋体"/>
          <w:color w:val="auto"/>
          <w:spacing w:val="0"/>
          <w:sz w:val="24"/>
          <w:shd w:val="clear" w:color="auto" w:fill="FFFFFF"/>
          <w:lang w:eastAsia="zh-CN"/>
        </w:rPr>
        <w:t>建筑机电安装工程：</w:t>
      </w:r>
      <w:r>
        <w:rPr>
          <w:rFonts w:hint="eastAsia" w:ascii="宋体" w:hAnsi="宋体" w:eastAsia="宋体" w:cs="宋体"/>
          <w:color w:val="auto"/>
          <w:sz w:val="24"/>
          <w:shd w:val="clear" w:color="auto" w:fill="auto"/>
        </w:rPr>
        <w:t>具备建筑机电安装工程专业承包三级及以上资质</w:t>
      </w:r>
      <w:r>
        <w:rPr>
          <w:rFonts w:hint="eastAsia" w:ascii="宋体" w:hAnsi="宋体" w:eastAsia="宋体" w:cs="宋体"/>
          <w:color w:val="auto"/>
          <w:sz w:val="24"/>
          <w:shd w:val="clear" w:color="auto" w:fill="auto"/>
          <w:lang w:eastAsia="zh-CN"/>
        </w:rPr>
        <w:t>；</w:t>
      </w:r>
    </w:p>
    <w:p w14:paraId="7973B1FD">
      <w:pPr>
        <w:spacing w:line="360" w:lineRule="auto"/>
        <w:ind w:left="122" w:leftChars="58" w:firstLine="480" w:firstLineChars="200"/>
        <w:jc w:val="left"/>
        <w:rPr>
          <w:rFonts w:hint="eastAsia" w:ascii="宋体" w:hAnsi="宋体" w:eastAsia="宋体" w:cs="宋体"/>
          <w:color w:val="auto"/>
          <w:spacing w:val="0"/>
          <w:sz w:val="24"/>
          <w:shd w:val="clear" w:color="auto" w:fill="FFFFFF"/>
          <w:lang w:eastAsia="zh-CN"/>
        </w:rPr>
      </w:pPr>
      <w:r>
        <w:rPr>
          <w:rFonts w:hint="eastAsia" w:ascii="宋体" w:hAnsi="宋体" w:eastAsia="宋体" w:cs="宋体"/>
          <w:color w:val="auto"/>
          <w:sz w:val="24"/>
          <w:shd w:val="clear" w:color="auto" w:fill="auto"/>
          <w:lang w:eastAsia="zh-CN"/>
        </w:rPr>
        <w:t>（</w:t>
      </w:r>
      <w:r>
        <w:rPr>
          <w:rFonts w:hint="eastAsia" w:ascii="宋体" w:hAnsi="宋体" w:eastAsia="宋体" w:cs="宋体"/>
          <w:color w:val="auto"/>
          <w:sz w:val="24"/>
          <w:shd w:val="clear" w:color="auto" w:fill="auto"/>
          <w:lang w:val="en-US" w:eastAsia="zh-CN"/>
        </w:rPr>
        <w:t>2</w:t>
      </w:r>
      <w:r>
        <w:rPr>
          <w:rFonts w:hint="eastAsia" w:ascii="宋体" w:hAnsi="宋体" w:eastAsia="宋体" w:cs="宋体"/>
          <w:color w:val="auto"/>
          <w:sz w:val="24"/>
          <w:shd w:val="clear" w:color="auto" w:fill="auto"/>
          <w:lang w:eastAsia="zh-CN"/>
        </w:rPr>
        <w:t>）</w:t>
      </w:r>
      <w:r>
        <w:rPr>
          <w:rFonts w:hint="eastAsia" w:ascii="宋体" w:hAnsi="宋体" w:eastAsia="宋体" w:cs="宋体"/>
          <w:color w:val="auto"/>
          <w:spacing w:val="0"/>
          <w:sz w:val="24"/>
          <w:shd w:val="clear" w:color="auto" w:fill="FFFFFF"/>
          <w:lang w:eastAsia="zh-CN"/>
        </w:rPr>
        <w:t>外立面幕墙工程：具备建筑幕墙工程专业承包二级及以上资质；</w:t>
      </w:r>
    </w:p>
    <w:p w14:paraId="46FA6618">
      <w:pPr>
        <w:spacing w:line="360" w:lineRule="auto"/>
        <w:ind w:left="122" w:leftChars="58" w:firstLine="480" w:firstLineChars="200"/>
        <w:jc w:val="left"/>
        <w:rPr>
          <w:rFonts w:hint="eastAsia" w:ascii="宋体" w:hAnsi="宋体" w:eastAsia="宋体" w:cs="宋体"/>
          <w:color w:val="auto"/>
          <w:sz w:val="24"/>
          <w:shd w:val="clear" w:color="auto" w:fill="FFFFFF"/>
          <w:lang w:eastAsia="zh-CN"/>
        </w:rPr>
      </w:pPr>
      <w:r>
        <w:rPr>
          <w:rFonts w:hint="eastAsia" w:ascii="宋体" w:hAnsi="宋体" w:eastAsia="宋体" w:cs="宋体"/>
          <w:color w:val="auto"/>
          <w:spacing w:val="0"/>
          <w:sz w:val="24"/>
          <w:shd w:val="clear" w:color="auto" w:fill="FFFFFF"/>
          <w:lang w:eastAsia="zh-CN"/>
        </w:rPr>
        <w:t>（</w:t>
      </w:r>
      <w:r>
        <w:rPr>
          <w:rFonts w:hint="eastAsia" w:ascii="宋体" w:hAnsi="宋体" w:eastAsia="宋体" w:cs="宋体"/>
          <w:color w:val="auto"/>
          <w:spacing w:val="0"/>
          <w:sz w:val="24"/>
          <w:shd w:val="clear" w:color="auto" w:fill="FFFFFF"/>
          <w:lang w:val="en-US" w:eastAsia="zh-CN"/>
        </w:rPr>
        <w:t>3</w:t>
      </w:r>
      <w:r>
        <w:rPr>
          <w:rFonts w:hint="eastAsia" w:ascii="宋体" w:hAnsi="宋体" w:eastAsia="宋体" w:cs="宋体"/>
          <w:color w:val="auto"/>
          <w:spacing w:val="0"/>
          <w:sz w:val="24"/>
          <w:shd w:val="clear" w:color="auto" w:fill="FFFFFF"/>
          <w:lang w:eastAsia="zh-CN"/>
        </w:rPr>
        <w:t>）塔吊人货梯工程：具备起重设备安装工程专业承包三级及以上资质。</w:t>
      </w:r>
    </w:p>
    <w:p w14:paraId="13344371">
      <w:pPr>
        <w:pStyle w:val="26"/>
        <w:shd w:val="clear" w:color="auto" w:fill="FFFFFF"/>
        <w:spacing w:line="440" w:lineRule="exact"/>
        <w:ind w:left="0" w:firstLine="708" w:firstLineChars="295"/>
        <w:jc w:val="left"/>
        <w:rPr>
          <w:rFonts w:hint="eastAsia" w:ascii="宋体" w:hAnsi="宋体" w:eastAsia="Arial Unicode MS" w:cs="宋体"/>
          <w:color w:val="auto"/>
          <w:szCs w:val="24"/>
          <w:lang w:eastAsia="zh-CN"/>
        </w:rPr>
      </w:pPr>
      <w:r>
        <w:rPr>
          <w:rFonts w:ascii="宋体" w:hAnsi="宋体" w:cs="宋体"/>
          <w:color w:val="auto"/>
          <w:szCs w:val="24"/>
        </w:rPr>
        <w:t>评审依据：审查行政主管部门颁发的企业资质证书原件扫描件的有效性</w:t>
      </w:r>
      <w:r>
        <w:rPr>
          <w:rFonts w:hint="eastAsia" w:ascii="宋体" w:hAnsi="宋体" w:cs="宋体"/>
          <w:color w:val="auto"/>
          <w:szCs w:val="24"/>
          <w:lang w:eastAsia="zh-CN"/>
        </w:rPr>
        <w:t>。</w:t>
      </w:r>
    </w:p>
    <w:p w14:paraId="78660784">
      <w:pPr>
        <w:pStyle w:val="26"/>
        <w:shd w:val="clear" w:color="auto" w:fill="FFFFFF"/>
        <w:spacing w:line="440" w:lineRule="exact"/>
        <w:ind w:left="420" w:firstLine="295" w:firstLineChars="100"/>
        <w:jc w:val="both"/>
        <w:rPr>
          <w:rFonts w:hint="default" w:ascii="宋体" w:hAnsi="宋体" w:eastAsia="宋体" w:cs="宋体"/>
          <w:color w:val="auto"/>
          <w:spacing w:val="27"/>
          <w:szCs w:val="24"/>
          <w:shd w:val="clear" w:color="auto" w:fill="FFFFFF"/>
        </w:rPr>
      </w:pPr>
      <w:r>
        <w:rPr>
          <w:rFonts w:ascii="黑体" w:hAnsi="黑体" w:eastAsia="黑体" w:cs="黑体"/>
          <w:b/>
          <w:bCs/>
          <w:color w:val="auto"/>
          <w:spacing w:val="27"/>
          <w:szCs w:val="24"/>
          <w:shd w:val="clear" w:color="auto" w:fill="FFFFFF"/>
        </w:rPr>
        <w:t>7、近五年来【专业工程施工承包合同上甲方签订的时间在202</w:t>
      </w:r>
      <w:r>
        <w:rPr>
          <w:rFonts w:hint="default" w:ascii="黑体" w:hAnsi="黑体" w:eastAsia="黑体" w:cs="黑体"/>
          <w:b/>
          <w:bCs/>
          <w:color w:val="auto"/>
          <w:spacing w:val="27"/>
          <w:szCs w:val="24"/>
          <w:shd w:val="clear" w:color="auto" w:fill="FFFFFF"/>
        </w:rPr>
        <w:t>1</w:t>
      </w:r>
      <w:r>
        <w:rPr>
          <w:rFonts w:ascii="黑体" w:hAnsi="黑体" w:eastAsia="黑体" w:cs="黑体"/>
          <w:b/>
          <w:bCs/>
          <w:color w:val="auto"/>
          <w:spacing w:val="27"/>
          <w:szCs w:val="24"/>
          <w:shd w:val="clear" w:color="auto" w:fill="FFFFFF"/>
        </w:rPr>
        <w:t>年</w:t>
      </w:r>
      <w:r>
        <w:rPr>
          <w:rFonts w:hint="default" w:ascii="黑体" w:hAnsi="黑体" w:eastAsia="黑体" w:cs="黑体"/>
          <w:b/>
          <w:bCs/>
          <w:color w:val="auto"/>
          <w:spacing w:val="27"/>
          <w:szCs w:val="24"/>
          <w:shd w:val="clear" w:color="auto" w:fill="FFFFFF"/>
        </w:rPr>
        <w:t>3</w:t>
      </w:r>
      <w:r>
        <w:rPr>
          <w:rFonts w:ascii="黑体" w:hAnsi="黑体" w:eastAsia="黑体" w:cs="黑体"/>
          <w:b/>
          <w:bCs/>
          <w:color w:val="auto"/>
          <w:spacing w:val="27"/>
          <w:szCs w:val="24"/>
          <w:shd w:val="clear" w:color="auto" w:fill="FFFFFF"/>
        </w:rPr>
        <w:t>月1日以后】类似工程的施工业绩3个（其中在建项目不得少于1个）：</w:t>
      </w:r>
    </w:p>
    <w:p w14:paraId="1BCA37B0">
      <w:pPr>
        <w:spacing w:line="360" w:lineRule="auto"/>
        <w:ind w:left="122" w:leftChars="58" w:firstLine="480" w:firstLineChars="200"/>
        <w:jc w:val="left"/>
        <w:rPr>
          <w:rFonts w:hint="eastAsia" w:ascii="宋体" w:hAnsi="宋体" w:eastAsia="宋体" w:cs="宋体"/>
          <w:color w:val="auto"/>
          <w:sz w:val="24"/>
          <w:shd w:val="clear" w:color="auto" w:fill="auto"/>
        </w:rPr>
      </w:pPr>
      <w:r>
        <w:rPr>
          <w:rFonts w:hint="eastAsia" w:ascii="宋体" w:hAnsi="宋体" w:eastAsia="宋体" w:cs="宋体"/>
          <w:color w:val="auto"/>
          <w:spacing w:val="0"/>
          <w:sz w:val="24"/>
          <w:shd w:val="clear" w:color="auto" w:fill="auto"/>
          <w:lang w:eastAsia="zh-CN"/>
        </w:rPr>
        <w:t>（</w:t>
      </w:r>
      <w:r>
        <w:rPr>
          <w:rFonts w:hint="eastAsia" w:ascii="宋体" w:hAnsi="宋体" w:eastAsia="宋体" w:cs="宋体"/>
          <w:color w:val="auto"/>
          <w:spacing w:val="0"/>
          <w:sz w:val="24"/>
          <w:shd w:val="clear" w:color="auto" w:fill="auto"/>
          <w:lang w:val="en-US" w:eastAsia="zh-CN"/>
        </w:rPr>
        <w:t>1</w:t>
      </w:r>
      <w:r>
        <w:rPr>
          <w:rFonts w:hint="eastAsia" w:ascii="宋体" w:hAnsi="宋体" w:eastAsia="宋体" w:cs="宋体"/>
          <w:color w:val="auto"/>
          <w:spacing w:val="0"/>
          <w:sz w:val="24"/>
          <w:shd w:val="clear" w:color="auto" w:fill="auto"/>
          <w:lang w:eastAsia="zh-CN"/>
        </w:rPr>
        <w:t>）</w:t>
      </w:r>
      <w:r>
        <w:rPr>
          <w:rFonts w:hint="eastAsia" w:ascii="宋体" w:hAnsi="宋体" w:eastAsia="宋体" w:cs="宋体"/>
          <w:color w:val="auto"/>
          <w:spacing w:val="0"/>
          <w:sz w:val="24"/>
          <w:shd w:val="clear" w:color="auto" w:fill="FFFFFF"/>
          <w:lang w:eastAsia="zh-CN"/>
        </w:rPr>
        <w:t>建筑机电安装工程：</w:t>
      </w:r>
      <w:r>
        <w:rPr>
          <w:rFonts w:hint="eastAsia" w:ascii="宋体" w:hAnsi="宋体" w:eastAsia="宋体" w:cs="宋体"/>
          <w:color w:val="auto"/>
          <w:sz w:val="24"/>
          <w:shd w:val="clear" w:color="auto" w:fill="auto"/>
        </w:rPr>
        <w:t>单个本专业工程施工承包合同金额均在100万元及以上业绩；</w:t>
      </w:r>
    </w:p>
    <w:p w14:paraId="50EFB15C">
      <w:pPr>
        <w:spacing w:line="360" w:lineRule="auto"/>
        <w:ind w:left="122" w:leftChars="58" w:firstLine="480" w:firstLineChars="200"/>
        <w:jc w:val="left"/>
        <w:rPr>
          <w:rFonts w:hint="eastAsia" w:ascii="宋体" w:hAnsi="宋体" w:eastAsia="宋体" w:cs="宋体"/>
          <w:color w:val="auto"/>
          <w:spacing w:val="0"/>
          <w:sz w:val="24"/>
          <w:shd w:val="clear" w:color="auto" w:fill="FFFFFF"/>
          <w:lang w:eastAsia="zh-CN"/>
        </w:rPr>
      </w:pPr>
      <w:r>
        <w:rPr>
          <w:rFonts w:hint="eastAsia" w:ascii="宋体" w:hAnsi="宋体" w:eastAsia="宋体" w:cs="宋体"/>
          <w:color w:val="auto"/>
          <w:sz w:val="24"/>
          <w:shd w:val="clear" w:color="auto" w:fill="auto"/>
          <w:lang w:eastAsia="zh-CN"/>
        </w:rPr>
        <w:t>（</w:t>
      </w:r>
      <w:r>
        <w:rPr>
          <w:rFonts w:hint="eastAsia" w:ascii="宋体" w:hAnsi="宋体" w:eastAsia="宋体" w:cs="宋体"/>
          <w:color w:val="auto"/>
          <w:sz w:val="24"/>
          <w:shd w:val="clear" w:color="auto" w:fill="auto"/>
          <w:lang w:val="en-US" w:eastAsia="zh-CN"/>
        </w:rPr>
        <w:t>2</w:t>
      </w:r>
      <w:r>
        <w:rPr>
          <w:rFonts w:hint="eastAsia" w:ascii="宋体" w:hAnsi="宋体" w:eastAsia="宋体" w:cs="宋体"/>
          <w:color w:val="auto"/>
          <w:sz w:val="24"/>
          <w:shd w:val="clear" w:color="auto" w:fill="auto"/>
          <w:lang w:eastAsia="zh-CN"/>
        </w:rPr>
        <w:t>）</w:t>
      </w:r>
      <w:r>
        <w:rPr>
          <w:rFonts w:hint="eastAsia" w:ascii="宋体" w:hAnsi="宋体" w:eastAsia="宋体" w:cs="宋体"/>
          <w:color w:val="auto"/>
          <w:spacing w:val="0"/>
          <w:sz w:val="24"/>
          <w:shd w:val="clear" w:color="auto" w:fill="FFFFFF"/>
          <w:lang w:eastAsia="zh-CN"/>
        </w:rPr>
        <w:t>外立面幕墙工程：单个本专业工程施工承包合同金额均在500万元及以上业绩；</w:t>
      </w:r>
    </w:p>
    <w:p w14:paraId="37B6CB9B">
      <w:pPr>
        <w:spacing w:line="360" w:lineRule="auto"/>
        <w:ind w:left="122" w:leftChars="58" w:firstLine="480" w:firstLineChars="200"/>
        <w:jc w:val="left"/>
        <w:rPr>
          <w:rFonts w:hint="eastAsia" w:ascii="宋体" w:hAnsi="宋体" w:eastAsia="宋体" w:cs="宋体"/>
          <w:color w:val="auto"/>
          <w:spacing w:val="0"/>
          <w:sz w:val="24"/>
          <w:shd w:val="clear" w:color="auto" w:fill="FFFFFF"/>
          <w:lang w:eastAsia="zh-CN"/>
        </w:rPr>
      </w:pPr>
      <w:r>
        <w:rPr>
          <w:rFonts w:hint="eastAsia" w:ascii="宋体" w:hAnsi="宋体" w:eastAsia="宋体" w:cs="宋体"/>
          <w:color w:val="auto"/>
          <w:spacing w:val="0"/>
          <w:sz w:val="24"/>
          <w:shd w:val="clear" w:color="auto" w:fill="FFFFFF"/>
          <w:lang w:eastAsia="zh-CN"/>
        </w:rPr>
        <w:t>（</w:t>
      </w:r>
      <w:r>
        <w:rPr>
          <w:rFonts w:hint="eastAsia" w:ascii="宋体" w:hAnsi="宋体" w:eastAsia="宋体" w:cs="宋体"/>
          <w:color w:val="auto"/>
          <w:spacing w:val="0"/>
          <w:sz w:val="24"/>
          <w:shd w:val="clear" w:color="auto" w:fill="FFFFFF"/>
          <w:lang w:val="en-US" w:eastAsia="zh-CN"/>
        </w:rPr>
        <w:t>3</w:t>
      </w:r>
      <w:r>
        <w:rPr>
          <w:rFonts w:hint="eastAsia" w:ascii="宋体" w:hAnsi="宋体" w:eastAsia="宋体" w:cs="宋体"/>
          <w:color w:val="auto"/>
          <w:spacing w:val="0"/>
          <w:sz w:val="24"/>
          <w:shd w:val="clear" w:color="auto" w:fill="FFFFFF"/>
          <w:lang w:eastAsia="zh-CN"/>
        </w:rPr>
        <w:t>）塔吊人货梯工程：近五年累计安装拆卸塔式起重机15台次及以上业绩。</w:t>
      </w:r>
    </w:p>
    <w:p w14:paraId="723ED502">
      <w:pPr>
        <w:pStyle w:val="26"/>
        <w:shd w:val="clear" w:color="auto" w:fill="FFFFFF"/>
        <w:spacing w:line="460" w:lineRule="exact"/>
        <w:ind w:firstLine="720" w:firstLineChars="300"/>
        <w:jc w:val="both"/>
        <w:rPr>
          <w:rFonts w:hint="default" w:ascii="宋体" w:hAnsi="宋体" w:eastAsia="宋体" w:cs="宋体"/>
          <w:color w:val="auto"/>
          <w:szCs w:val="24"/>
        </w:rPr>
      </w:pPr>
      <w:r>
        <w:rPr>
          <w:rFonts w:ascii="宋体" w:hAnsi="宋体" w:eastAsia="宋体" w:cs="宋体"/>
          <w:color w:val="auto"/>
          <w:szCs w:val="24"/>
        </w:rPr>
        <w:t>评审依据：审查</w:t>
      </w:r>
      <w:r>
        <w:rPr>
          <w:rFonts w:ascii="宋体" w:hAnsi="宋体" w:eastAsia="宋体" w:cs="宋体"/>
          <w:color w:val="auto"/>
          <w:spacing w:val="27"/>
          <w:szCs w:val="24"/>
          <w:shd w:val="clear" w:color="auto" w:fill="FFFFFF"/>
        </w:rPr>
        <w:t>①合同原件扫描件②总承包项目经理或建设单位项目负责人联系方式等业绩证明材料的</w:t>
      </w:r>
      <w:r>
        <w:rPr>
          <w:rFonts w:ascii="宋体" w:hAnsi="宋体" w:eastAsia="宋体" w:cs="宋体"/>
          <w:color w:val="auto"/>
          <w:szCs w:val="24"/>
        </w:rPr>
        <w:t>有效性</w:t>
      </w:r>
      <w:r>
        <w:rPr>
          <w:rFonts w:ascii="宋体" w:hAnsi="宋体" w:eastAsia="宋体" w:cs="宋体"/>
          <w:color w:val="auto"/>
          <w:spacing w:val="27"/>
          <w:szCs w:val="24"/>
          <w:shd w:val="clear" w:color="auto" w:fill="FFFFFF"/>
        </w:rPr>
        <w:t>③在建项目评审以合同约定工期为准，若项目现场实际工期超出合同工期，提供经业主单位签字并盖章确认的工期顺延 / 延期证明文件亦予以认可</w:t>
      </w:r>
      <w:r>
        <w:rPr>
          <w:rFonts w:ascii="宋体" w:hAnsi="宋体" w:eastAsia="宋体" w:cs="宋体"/>
          <w:color w:val="auto"/>
          <w:szCs w:val="24"/>
        </w:rPr>
        <w:t>。</w:t>
      </w:r>
    </w:p>
    <w:p w14:paraId="4A4393E1">
      <w:pPr>
        <w:widowControl/>
        <w:numPr>
          <w:ilvl w:val="0"/>
          <w:numId w:val="1"/>
        </w:numPr>
        <w:shd w:val="clear" w:color="auto" w:fill="FFFFFF"/>
        <w:tabs>
          <w:tab w:val="left" w:pos="7170"/>
        </w:tabs>
        <w:wordWrap w:val="0"/>
        <w:adjustRightInd w:val="0"/>
        <w:snapToGrid w:val="0"/>
        <w:spacing w:line="360" w:lineRule="auto"/>
        <w:ind w:firstLine="590" w:firstLineChars="200"/>
        <w:jc w:val="left"/>
        <w:rPr>
          <w:rFonts w:ascii="宋体" w:hAnsi="宋体" w:cs="宋体"/>
          <w:color w:val="auto"/>
          <w:spacing w:val="27"/>
          <w:sz w:val="24"/>
          <w:szCs w:val="24"/>
          <w:shd w:val="clear" w:color="auto" w:fill="FFFFFF"/>
        </w:rPr>
      </w:pPr>
      <w:r>
        <w:rPr>
          <w:rFonts w:hint="eastAsia" w:ascii="黑体" w:hAnsi="黑体" w:eastAsia="黑体" w:cs="黑体"/>
          <w:b/>
          <w:bCs/>
          <w:color w:val="auto"/>
          <w:spacing w:val="27"/>
          <w:sz w:val="24"/>
          <w:szCs w:val="24"/>
          <w:shd w:val="clear" w:color="auto" w:fill="FFFFFF"/>
        </w:rPr>
        <w:t>投标保证金：</w:t>
      </w:r>
      <w:r>
        <w:rPr>
          <w:rFonts w:hint="eastAsia" w:ascii="宋体" w:hAnsi="宋体" w:cs="宋体"/>
          <w:color w:val="auto"/>
          <w:spacing w:val="27"/>
          <w:sz w:val="24"/>
          <w:szCs w:val="24"/>
          <w:shd w:val="clear" w:color="auto" w:fill="FFFFFF"/>
        </w:rPr>
        <w:t xml:space="preserve"> </w:t>
      </w:r>
    </w:p>
    <w:p w14:paraId="6AC667C5">
      <w:pPr>
        <w:spacing w:line="360" w:lineRule="auto"/>
        <w:ind w:firstLine="360" w:firstLineChars="150"/>
        <w:outlineLvl w:val="0"/>
        <w:rPr>
          <w:rFonts w:ascii="宋体" w:hAnsi="宋体"/>
          <w:color w:val="auto"/>
          <w:sz w:val="24"/>
          <w:szCs w:val="24"/>
        </w:rPr>
      </w:pPr>
      <w:bookmarkStart w:id="20" w:name="_Toc473985199"/>
      <w:r>
        <w:rPr>
          <w:rFonts w:hint="eastAsia" w:ascii="宋体" w:hAnsi="宋体"/>
          <w:color w:val="auto"/>
          <w:sz w:val="24"/>
          <w:szCs w:val="24"/>
        </w:rPr>
        <w:t>投标保证金的形式：银行转账或者银行保函</w:t>
      </w:r>
    </w:p>
    <w:p w14:paraId="1CD421D9">
      <w:pPr>
        <w:spacing w:line="360" w:lineRule="auto"/>
        <w:ind w:firstLine="360" w:firstLineChars="150"/>
        <w:outlineLvl w:val="0"/>
        <w:rPr>
          <w:rFonts w:ascii="宋体" w:hAnsi="宋体"/>
          <w:color w:val="auto"/>
          <w:sz w:val="24"/>
          <w:szCs w:val="24"/>
        </w:rPr>
      </w:pPr>
      <w:r>
        <w:rPr>
          <w:rFonts w:hint="eastAsia" w:ascii="宋体" w:hAnsi="宋体"/>
          <w:color w:val="auto"/>
          <w:sz w:val="24"/>
          <w:szCs w:val="24"/>
        </w:rPr>
        <w:t>采取银行电汇、转账、网上银行支付的保证金的：</w:t>
      </w:r>
    </w:p>
    <w:p w14:paraId="278CB88E">
      <w:pPr>
        <w:spacing w:line="360" w:lineRule="auto"/>
        <w:ind w:firstLine="360" w:firstLineChars="150"/>
        <w:outlineLvl w:val="0"/>
        <w:rPr>
          <w:rFonts w:ascii="宋体" w:hAnsi="宋体"/>
          <w:color w:val="auto"/>
          <w:sz w:val="24"/>
          <w:szCs w:val="24"/>
        </w:rPr>
      </w:pPr>
      <w:r>
        <w:rPr>
          <w:rFonts w:hint="eastAsia" w:ascii="宋体" w:hAnsi="宋体"/>
          <w:color w:val="auto"/>
          <w:sz w:val="24"/>
          <w:szCs w:val="24"/>
        </w:rPr>
        <w:t>投标人须在递交资格审查文件截止时间</w:t>
      </w:r>
      <w:r>
        <w:rPr>
          <w:rFonts w:hint="eastAsia" w:ascii="宋体" w:hAnsi="宋体" w:cs="宋体"/>
          <w:bCs/>
          <w:color w:val="auto"/>
          <w:sz w:val="24"/>
          <w:szCs w:val="24"/>
        </w:rPr>
        <w:t>前一日的17点</w:t>
      </w:r>
      <w:r>
        <w:rPr>
          <w:rFonts w:hint="eastAsia" w:ascii="宋体" w:hAnsi="宋体"/>
          <w:color w:val="auto"/>
          <w:sz w:val="24"/>
          <w:szCs w:val="24"/>
        </w:rPr>
        <w:t>前从企业基本账户以银行转账方式向邀请方指定账户足额缴纳，以实际到账为准</w:t>
      </w:r>
      <w:r>
        <w:rPr>
          <w:rFonts w:hint="eastAsia" w:ascii="宋体" w:hAnsi="宋体"/>
          <w:b/>
          <w:bCs/>
          <w:color w:val="auto"/>
          <w:sz w:val="24"/>
          <w:szCs w:val="24"/>
        </w:rPr>
        <w:t>（汇款时应注明项目名称、</w:t>
      </w:r>
      <w:r>
        <w:rPr>
          <w:rFonts w:hint="eastAsia" w:ascii="宋体" w:hAnsi="宋体"/>
          <w:b/>
          <w:bCs/>
          <w:color w:val="auto"/>
          <w:sz w:val="24"/>
          <w:szCs w:val="24"/>
          <w:lang w:eastAsia="zh-CN"/>
        </w:rPr>
        <w:t>入驻专业工程名称、</w:t>
      </w:r>
      <w:r>
        <w:rPr>
          <w:rFonts w:hint="eastAsia" w:ascii="宋体" w:hAnsi="宋体"/>
          <w:b/>
          <w:bCs/>
          <w:color w:val="auto"/>
          <w:sz w:val="24"/>
          <w:szCs w:val="24"/>
        </w:rPr>
        <w:t>投标人名称，且应与投标书一致）</w:t>
      </w:r>
      <w:r>
        <w:rPr>
          <w:rFonts w:hint="eastAsia" w:ascii="宋体" w:hAnsi="宋体"/>
          <w:color w:val="auto"/>
          <w:sz w:val="24"/>
          <w:szCs w:val="24"/>
        </w:rPr>
        <w:t>。</w:t>
      </w:r>
    </w:p>
    <w:p w14:paraId="0A443567">
      <w:pPr>
        <w:spacing w:line="360" w:lineRule="auto"/>
        <w:ind w:firstLine="360" w:firstLineChars="150"/>
        <w:outlineLvl w:val="0"/>
        <w:rPr>
          <w:rFonts w:ascii="宋体" w:hAnsi="宋体"/>
          <w:color w:val="auto"/>
          <w:sz w:val="24"/>
          <w:szCs w:val="24"/>
        </w:rPr>
      </w:pPr>
      <w:r>
        <w:rPr>
          <w:rFonts w:hint="eastAsia" w:ascii="宋体" w:hAnsi="宋体"/>
          <w:color w:val="auto"/>
          <w:sz w:val="24"/>
          <w:szCs w:val="24"/>
        </w:rPr>
        <w:t>采用银行保函的：必须为投标单位基本账户所在的开户银行开具，如果其开户银行不具备出具银行保函的，由其所在开户银行的上级分行开具。</w:t>
      </w:r>
    </w:p>
    <w:p w14:paraId="48E67808">
      <w:pPr>
        <w:spacing w:line="360" w:lineRule="auto"/>
        <w:ind w:firstLine="360" w:firstLineChars="150"/>
        <w:outlineLvl w:val="0"/>
        <w:rPr>
          <w:rFonts w:ascii="宋体" w:hAnsi="宋体"/>
          <w:color w:val="auto"/>
          <w:sz w:val="24"/>
          <w:szCs w:val="24"/>
        </w:rPr>
      </w:pPr>
      <w:r>
        <w:rPr>
          <w:rFonts w:hint="eastAsia" w:ascii="宋体" w:hAnsi="宋体"/>
          <w:color w:val="auto"/>
          <w:sz w:val="24"/>
          <w:szCs w:val="24"/>
        </w:rPr>
        <w:t xml:space="preserve"> 评审依据：审查投标保证金进账单凭证或银行保函凭证和基本账号开户许可证（该项开户许可证可为加盖投标单位公章的复印件）的有效性。 </w:t>
      </w:r>
    </w:p>
    <w:p w14:paraId="60D38362">
      <w:pPr>
        <w:widowControl/>
        <w:numPr>
          <w:ilvl w:val="0"/>
          <w:numId w:val="1"/>
        </w:numPr>
        <w:shd w:val="clear" w:color="auto" w:fill="FFFFFF"/>
        <w:tabs>
          <w:tab w:val="left" w:pos="7170"/>
        </w:tabs>
        <w:wordWrap w:val="0"/>
        <w:adjustRightInd w:val="0"/>
        <w:snapToGrid w:val="0"/>
        <w:spacing w:line="360" w:lineRule="auto"/>
        <w:ind w:firstLine="590"/>
        <w:jc w:val="left"/>
        <w:rPr>
          <w:rFonts w:ascii="黑体" w:hAnsi="黑体" w:eastAsia="黑体" w:cs="黑体"/>
          <w:b/>
          <w:bCs/>
          <w:color w:val="auto"/>
          <w:spacing w:val="27"/>
          <w:sz w:val="24"/>
          <w:szCs w:val="24"/>
          <w:shd w:val="clear" w:color="auto" w:fill="FFFFFF"/>
        </w:rPr>
      </w:pPr>
      <w:r>
        <w:rPr>
          <w:rFonts w:hint="eastAsia" w:ascii="黑体" w:hAnsi="黑体" w:eastAsia="黑体" w:cs="黑体"/>
          <w:b/>
          <w:bCs/>
          <w:color w:val="auto"/>
          <w:spacing w:val="27"/>
          <w:sz w:val="24"/>
          <w:szCs w:val="24"/>
          <w:shd w:val="clear" w:color="auto" w:fill="FFFFFF"/>
        </w:rPr>
        <w:t>投标人、投标人法人代表及拟派项目负责人，其不得被列入“信用中国”网站（www.creditchina.gov.cn）严重失信主体名单、失信被执行人、重大税收违法案件当事人名单、政府采购严重违法失信名单（招标公告发布前从最高人民法院失信被执行人信息库中删除的除外）。</w:t>
      </w:r>
    </w:p>
    <w:p w14:paraId="215DD3A4">
      <w:pPr>
        <w:spacing w:line="360" w:lineRule="auto"/>
        <w:ind w:firstLine="360" w:firstLineChars="150"/>
        <w:outlineLvl w:val="0"/>
        <w:rPr>
          <w:rFonts w:hint="eastAsia" w:ascii="宋体" w:hAnsi="宋体"/>
          <w:color w:val="auto"/>
          <w:sz w:val="24"/>
          <w:szCs w:val="24"/>
        </w:rPr>
      </w:pPr>
      <w:r>
        <w:rPr>
          <w:rFonts w:hint="eastAsia" w:ascii="宋体" w:hAnsi="宋体"/>
          <w:color w:val="auto"/>
          <w:sz w:val="24"/>
          <w:szCs w:val="24"/>
        </w:rPr>
        <w:t>评审依据：自然人身份证、“信用中国”网站上信用服务信息查询截图的有效性。</w:t>
      </w:r>
    </w:p>
    <w:p w14:paraId="3BADC893">
      <w:pPr>
        <w:widowControl/>
        <w:numPr>
          <w:ilvl w:val="-1"/>
          <w:numId w:val="0"/>
        </w:numPr>
        <w:shd w:val="clear" w:color="auto" w:fill="FFFFFF"/>
        <w:tabs>
          <w:tab w:val="left" w:pos="7170"/>
        </w:tabs>
        <w:wordWrap w:val="0"/>
        <w:adjustRightInd w:val="0"/>
        <w:snapToGrid w:val="0"/>
        <w:spacing w:line="360" w:lineRule="auto"/>
        <w:ind w:firstLine="590" w:firstLineChars="200"/>
        <w:rPr>
          <w:rFonts w:hint="eastAsia" w:ascii="黑体" w:hAnsi="黑体" w:eastAsia="黑体" w:cs="黑体"/>
          <w:b/>
          <w:bCs/>
          <w:color w:val="auto"/>
          <w:spacing w:val="27"/>
          <w:sz w:val="24"/>
          <w:szCs w:val="24"/>
          <w:shd w:val="clear" w:color="auto" w:fill="FFFFFF"/>
          <w:lang w:val="en-US" w:eastAsia="zh-CN"/>
        </w:rPr>
      </w:pPr>
      <w:r>
        <w:rPr>
          <w:rFonts w:hint="eastAsia" w:ascii="黑体" w:hAnsi="黑体" w:eastAsia="黑体" w:cs="黑体"/>
          <w:b/>
          <w:bCs/>
          <w:color w:val="auto"/>
          <w:spacing w:val="27"/>
          <w:sz w:val="24"/>
          <w:szCs w:val="24"/>
          <w:shd w:val="clear" w:color="auto" w:fill="FFFFFF"/>
          <w:lang w:val="en-US" w:eastAsia="zh-CN"/>
        </w:rPr>
        <w:t>10、申请入驻企业须提供法人授权委托书及本人身份证原件（法定代表人参与投标的须提供法定代表人证明文件及本人身份证原件）。</w:t>
      </w:r>
    </w:p>
    <w:p w14:paraId="7B42CA99">
      <w:pPr>
        <w:widowControl/>
        <w:numPr>
          <w:ilvl w:val="-1"/>
          <w:numId w:val="0"/>
        </w:numPr>
        <w:shd w:val="clear" w:color="auto" w:fill="FFFFFF"/>
        <w:tabs>
          <w:tab w:val="left" w:pos="7170"/>
        </w:tabs>
        <w:wordWrap w:val="0"/>
        <w:adjustRightInd w:val="0"/>
        <w:snapToGrid w:val="0"/>
        <w:spacing w:line="360" w:lineRule="auto"/>
        <w:ind w:firstLine="480" w:firstLineChars="200"/>
        <w:rPr>
          <w:rFonts w:hint="eastAsia" w:ascii="黑体" w:hAnsi="黑体" w:eastAsia="黑体" w:cs="黑体"/>
          <w:b/>
          <w:bCs/>
          <w:color w:val="auto"/>
          <w:spacing w:val="27"/>
          <w:sz w:val="24"/>
          <w:szCs w:val="24"/>
          <w:shd w:val="clear" w:color="auto" w:fill="FFFFFF"/>
          <w:lang w:val="en-US" w:eastAsia="zh-CN"/>
        </w:rPr>
      </w:pPr>
      <w:r>
        <w:rPr>
          <w:rFonts w:hint="eastAsia" w:ascii="宋体" w:hAnsi="宋体" w:eastAsia="宋体" w:cs="Times New Roman"/>
          <w:b w:val="0"/>
          <w:bCs w:val="0"/>
          <w:color w:val="auto"/>
          <w:spacing w:val="0"/>
          <w:sz w:val="24"/>
          <w:szCs w:val="24"/>
          <w:shd w:val="clear" w:color="auto" w:fill="FFFFFF"/>
          <w:lang w:val="en-US" w:eastAsia="zh-CN"/>
        </w:rPr>
        <w:t>评审依据：</w:t>
      </w:r>
      <w:r>
        <w:rPr>
          <w:rFonts w:hint="eastAsia" w:ascii="宋体" w:hAnsi="宋体" w:cs="Times New Roman"/>
          <w:b w:val="0"/>
          <w:bCs w:val="0"/>
          <w:color w:val="auto"/>
          <w:spacing w:val="0"/>
          <w:sz w:val="24"/>
          <w:szCs w:val="24"/>
          <w:shd w:val="clear"/>
          <w:lang w:val="en-US" w:eastAsia="zh-CN"/>
        </w:rPr>
        <w:t>审查法人授权委托书及本人身份证原件（法定代表人参与投标的提供法定代表人证明文件及本人身份证原件）有效性。</w:t>
      </w:r>
    </w:p>
    <w:p w14:paraId="3EEE4586">
      <w:pPr>
        <w:spacing w:line="440" w:lineRule="exact"/>
        <w:ind w:firstLine="360" w:firstLineChars="150"/>
        <w:outlineLvl w:val="0"/>
        <w:rPr>
          <w:rFonts w:ascii="宋体" w:hAnsi="宋体"/>
          <w:color w:val="auto"/>
          <w:sz w:val="24"/>
          <w:szCs w:val="24"/>
        </w:rPr>
      </w:pPr>
      <w:r>
        <w:rPr>
          <w:rFonts w:hint="eastAsia" w:ascii="宋体" w:hAnsi="宋体"/>
          <w:color w:val="auto"/>
          <w:sz w:val="24"/>
          <w:szCs w:val="24"/>
        </w:rPr>
        <w:t>以上证书、资料【政策性规定的电子证书或者政策性规定的加盖投标单位公章的复印件具有与原件同等效力的除外】均审查原件的扫描件，全部满足条件为合格，否则，为不合格。</w:t>
      </w:r>
    </w:p>
    <w:p w14:paraId="7F9F356D">
      <w:pPr>
        <w:spacing w:line="440" w:lineRule="exact"/>
        <w:ind w:firstLine="360" w:firstLineChars="150"/>
        <w:outlineLvl w:val="0"/>
        <w:rPr>
          <w:rFonts w:ascii="宋体" w:hAnsi="宋体" w:cs="宋体"/>
          <w:b/>
          <w:bCs/>
          <w:color w:val="auto"/>
          <w:sz w:val="24"/>
          <w:szCs w:val="24"/>
        </w:rPr>
      </w:pPr>
      <w:r>
        <w:rPr>
          <w:rFonts w:ascii="宋体" w:hAnsi="宋体" w:cs="宋体"/>
          <w:color w:val="auto"/>
          <w:sz w:val="24"/>
          <w:szCs w:val="24"/>
        </w:rPr>
        <w:t>评</w:t>
      </w:r>
      <w:r>
        <w:rPr>
          <w:rFonts w:hint="eastAsia" w:ascii="宋体" w:hAnsi="宋体" w:cs="宋体"/>
          <w:color w:val="auto"/>
          <w:sz w:val="24"/>
          <w:szCs w:val="24"/>
        </w:rPr>
        <w:t>审</w:t>
      </w:r>
      <w:r>
        <w:rPr>
          <w:rFonts w:ascii="宋体" w:hAnsi="宋体" w:cs="宋体"/>
          <w:color w:val="auto"/>
          <w:sz w:val="24"/>
          <w:szCs w:val="24"/>
        </w:rPr>
        <w:t>过程中出示虚假证件的，以他人名义投标的或围标串标的或以其他弄虚作假方式骗 取</w:t>
      </w:r>
      <w:r>
        <w:rPr>
          <w:rFonts w:hint="eastAsia" w:ascii="宋体" w:hAnsi="宋体" w:cs="宋体"/>
          <w:color w:val="auto"/>
          <w:sz w:val="24"/>
          <w:szCs w:val="24"/>
        </w:rPr>
        <w:t>入库</w:t>
      </w:r>
      <w:r>
        <w:rPr>
          <w:rFonts w:ascii="宋体" w:hAnsi="宋体" w:cs="宋体"/>
          <w:color w:val="auto"/>
          <w:sz w:val="24"/>
          <w:szCs w:val="24"/>
        </w:rPr>
        <w:t>资格的，一经发现取消</w:t>
      </w:r>
      <w:r>
        <w:rPr>
          <w:rFonts w:hint="eastAsia" w:ascii="宋体" w:hAnsi="宋体" w:cs="宋体"/>
          <w:color w:val="auto"/>
          <w:sz w:val="24"/>
          <w:szCs w:val="24"/>
        </w:rPr>
        <w:t>审查</w:t>
      </w:r>
      <w:r>
        <w:rPr>
          <w:rFonts w:ascii="宋体" w:hAnsi="宋体" w:cs="宋体"/>
          <w:color w:val="auto"/>
          <w:sz w:val="24"/>
          <w:szCs w:val="24"/>
        </w:rPr>
        <w:t>资格；</w:t>
      </w:r>
      <w:r>
        <w:rPr>
          <w:rFonts w:hint="eastAsia" w:ascii="宋体" w:hAnsi="宋体" w:cs="宋体"/>
          <w:color w:val="auto"/>
          <w:sz w:val="24"/>
          <w:szCs w:val="24"/>
        </w:rPr>
        <w:t>入库</w:t>
      </w:r>
      <w:r>
        <w:rPr>
          <w:rFonts w:ascii="宋体" w:hAnsi="宋体" w:cs="宋体"/>
          <w:color w:val="auto"/>
          <w:sz w:val="24"/>
          <w:szCs w:val="24"/>
        </w:rPr>
        <w:t>后的，取消</w:t>
      </w:r>
      <w:r>
        <w:rPr>
          <w:rFonts w:hint="eastAsia" w:ascii="宋体" w:hAnsi="宋体" w:cs="宋体"/>
          <w:color w:val="auto"/>
          <w:sz w:val="24"/>
          <w:szCs w:val="24"/>
        </w:rPr>
        <w:t>入库</w:t>
      </w:r>
      <w:r>
        <w:rPr>
          <w:rFonts w:ascii="宋体" w:hAnsi="宋体" w:cs="宋体"/>
          <w:color w:val="auto"/>
          <w:sz w:val="24"/>
          <w:szCs w:val="24"/>
        </w:rPr>
        <w:t>资格，并不予返还投标保证金。</w:t>
      </w:r>
    </w:p>
    <w:p w14:paraId="4F5F34FD">
      <w:pPr>
        <w:spacing w:line="440" w:lineRule="exact"/>
        <w:ind w:firstLine="361" w:firstLineChars="150"/>
        <w:outlineLvl w:val="0"/>
        <w:rPr>
          <w:rFonts w:ascii="宋体" w:hAnsi="宋体" w:cs="宋体"/>
          <w:b/>
          <w:bCs/>
          <w:color w:val="auto"/>
          <w:sz w:val="24"/>
          <w:szCs w:val="24"/>
        </w:rPr>
      </w:pPr>
      <w:r>
        <w:rPr>
          <w:rFonts w:hint="eastAsia" w:ascii="宋体" w:hAnsi="宋体" w:cs="宋体"/>
          <w:b/>
          <w:bCs/>
          <w:color w:val="auto"/>
          <w:sz w:val="24"/>
          <w:szCs w:val="24"/>
        </w:rPr>
        <w:t>三、投标资格审查及送审材料格式和材料递交</w:t>
      </w:r>
      <w:bookmarkEnd w:id="20"/>
    </w:p>
    <w:p w14:paraId="7DCC1F62">
      <w:pPr>
        <w:spacing w:line="440" w:lineRule="exact"/>
        <w:ind w:firstLine="560" w:firstLineChars="250"/>
        <w:rPr>
          <w:rFonts w:ascii="宋体" w:hAnsi="宋体" w:cs="宋体"/>
          <w:color w:val="auto"/>
          <w:spacing w:val="-8"/>
          <w:sz w:val="24"/>
          <w:szCs w:val="24"/>
        </w:rPr>
      </w:pPr>
      <w:r>
        <w:rPr>
          <w:rFonts w:hint="eastAsia" w:ascii="宋体" w:hAnsi="宋体" w:cs="宋体"/>
          <w:color w:val="auto"/>
          <w:spacing w:val="-8"/>
          <w:sz w:val="24"/>
          <w:szCs w:val="24"/>
        </w:rPr>
        <w:t>1、资审委员会的组成</w:t>
      </w:r>
    </w:p>
    <w:p w14:paraId="1AB7ECD6">
      <w:pPr>
        <w:spacing w:line="440" w:lineRule="exact"/>
        <w:ind w:firstLine="570"/>
        <w:rPr>
          <w:rFonts w:ascii="宋体" w:hAnsi="宋体" w:cs="宋体"/>
          <w:color w:val="auto"/>
          <w:spacing w:val="-8"/>
          <w:sz w:val="24"/>
          <w:szCs w:val="24"/>
        </w:rPr>
      </w:pPr>
      <w:r>
        <w:rPr>
          <w:rFonts w:hint="eastAsia" w:ascii="宋体" w:hAnsi="宋体" w:cs="宋体"/>
          <w:color w:val="auto"/>
          <w:spacing w:val="-8"/>
          <w:sz w:val="24"/>
          <w:szCs w:val="24"/>
        </w:rPr>
        <w:t>投标资格审查由邀请方依法组建的资审委员会负责，邀请方不派代表参加资审委员会。资格预审时邀请方随机抽取技术经济类专家</w:t>
      </w:r>
      <w:bookmarkStart w:id="21" w:name="EB033591c3e2424abb858114d36a703fa0"/>
      <w:bookmarkEnd w:id="21"/>
      <w:r>
        <w:rPr>
          <w:rFonts w:hint="eastAsia" w:ascii="宋体" w:hAnsi="宋体" w:cs="宋体"/>
          <w:color w:val="auto"/>
          <w:spacing w:val="-8"/>
          <w:sz w:val="24"/>
          <w:szCs w:val="24"/>
        </w:rPr>
        <w:t>人数5人，组成资格审查委员会。资格审查由评标委员会负责。</w:t>
      </w:r>
    </w:p>
    <w:p w14:paraId="5BE00410">
      <w:pPr>
        <w:spacing w:line="500" w:lineRule="exact"/>
        <w:ind w:right="17" w:firstLine="672" w:firstLineChars="300"/>
        <w:jc w:val="left"/>
        <w:rPr>
          <w:rFonts w:ascii="宋体" w:hAnsi="宋体" w:cs="宋体"/>
          <w:color w:val="auto"/>
          <w:sz w:val="24"/>
          <w:szCs w:val="24"/>
        </w:rPr>
      </w:pPr>
      <w:r>
        <w:rPr>
          <w:rFonts w:hint="eastAsia" w:ascii="宋体" w:hAnsi="宋体" w:cs="宋体"/>
          <w:color w:val="auto"/>
          <w:spacing w:val="-8"/>
          <w:sz w:val="24"/>
          <w:szCs w:val="24"/>
        </w:rPr>
        <w:t>2、</w:t>
      </w:r>
      <w:r>
        <w:rPr>
          <w:rFonts w:ascii="宋体" w:hAnsi="宋体" w:cs="宋体"/>
          <w:color w:val="auto"/>
          <w:sz w:val="24"/>
          <w:szCs w:val="24"/>
        </w:rPr>
        <w:t>本文件执行《关于我省房屋建筑和市政工程招投标活动中使用电子证照 （书）相关事项的通知》（赣建招</w:t>
      </w:r>
      <w:r>
        <w:rPr>
          <w:rFonts w:ascii="TimesNewRomanPSMT" w:hAnsi="TimesNewRomanPSMT" w:eastAsia="TimesNewRomanPSMT" w:cs="TimesNewRomanPSMT"/>
          <w:color w:val="auto"/>
          <w:sz w:val="24"/>
          <w:szCs w:val="24"/>
        </w:rPr>
        <w:t xml:space="preserve">[2019]10 </w:t>
      </w:r>
      <w:r>
        <w:rPr>
          <w:rFonts w:ascii="宋体" w:hAnsi="宋体" w:cs="宋体"/>
          <w:color w:val="auto"/>
          <w:sz w:val="24"/>
          <w:szCs w:val="24"/>
        </w:rPr>
        <w:t>号文），相关资质、人员证书实行电子证照的，投标人提供电子证照视为提供了原件。</w:t>
      </w:r>
    </w:p>
    <w:p w14:paraId="2F41D3AB">
      <w:pPr>
        <w:spacing w:line="440" w:lineRule="exact"/>
        <w:ind w:firstLine="361" w:firstLineChars="150"/>
        <w:rPr>
          <w:rFonts w:ascii="宋体" w:hAnsi="宋体" w:cs="宋体"/>
          <w:b/>
          <w:bCs/>
          <w:color w:val="auto"/>
          <w:sz w:val="24"/>
          <w:szCs w:val="24"/>
        </w:rPr>
      </w:pPr>
      <w:bookmarkStart w:id="22" w:name="_Toc473985200"/>
      <w:r>
        <w:rPr>
          <w:rFonts w:hint="eastAsia" w:ascii="宋体" w:hAnsi="宋体" w:cs="宋体"/>
          <w:b/>
          <w:bCs/>
          <w:color w:val="auto"/>
          <w:sz w:val="24"/>
          <w:szCs w:val="24"/>
        </w:rPr>
        <w:t>四、本工程拟采用下列资格审查方法</w:t>
      </w:r>
      <w:bookmarkEnd w:id="22"/>
      <w:r>
        <w:rPr>
          <w:rFonts w:hint="eastAsia" w:ascii="宋体" w:hAnsi="宋体" w:cs="宋体"/>
          <w:b/>
          <w:bCs/>
          <w:color w:val="auto"/>
          <w:sz w:val="24"/>
          <w:szCs w:val="24"/>
        </w:rPr>
        <w:t>确定</w:t>
      </w:r>
      <w:r>
        <w:rPr>
          <w:rFonts w:hint="eastAsia" w:ascii="宋体" w:hAnsi="宋体" w:cs="宋体"/>
          <w:b/>
          <w:bCs/>
          <w:color w:val="auto"/>
          <w:spacing w:val="27"/>
          <w:sz w:val="24"/>
          <w:szCs w:val="24"/>
          <w:shd w:val="clear" w:color="auto" w:fill="FFFFFF"/>
        </w:rPr>
        <w:t>正式入驻企业和候补入驻企业。</w:t>
      </w:r>
    </w:p>
    <w:p w14:paraId="43579368">
      <w:pPr>
        <w:pStyle w:val="70"/>
        <w:numPr>
          <w:ilvl w:val="0"/>
          <w:numId w:val="2"/>
        </w:numPr>
        <w:spacing w:line="420" w:lineRule="exact"/>
        <w:ind w:firstLineChars="0"/>
        <w:rPr>
          <w:rFonts w:ascii="宋体" w:hAnsi="宋体" w:eastAsia="宋体" w:cs="宋体"/>
          <w:color w:val="auto"/>
          <w:spacing w:val="27"/>
          <w:sz w:val="24"/>
          <w:shd w:val="clear" w:color="auto" w:fill="FFFFFF"/>
        </w:rPr>
      </w:pPr>
      <w:r>
        <w:rPr>
          <w:rFonts w:hint="eastAsia" w:ascii="宋体" w:hAnsi="宋体" w:eastAsia="宋体" w:cs="宋体"/>
          <w:color w:val="auto"/>
          <w:spacing w:val="27"/>
          <w:sz w:val="24"/>
          <w:shd w:val="clear" w:color="auto" w:fill="FFFFFF"/>
        </w:rPr>
        <w:t>本次专业工程施工承包企业入驻按考察小组的考察评分【考察内容主要为：现场安全质量、团队规模、管理水平、机械设备投入等】，并从高到低依次排序，确定正式入驻各专业家数：</w:t>
      </w:r>
      <w:bookmarkStart w:id="23" w:name="OLE_LINK1"/>
    </w:p>
    <w:bookmarkEnd w:id="23"/>
    <w:p w14:paraId="62049D0F">
      <w:pPr>
        <w:pStyle w:val="70"/>
        <w:numPr>
          <w:ilvl w:val="255"/>
          <w:numId w:val="0"/>
        </w:numPr>
        <w:spacing w:line="420" w:lineRule="exact"/>
        <w:ind w:left="420"/>
        <w:rPr>
          <w:rFonts w:hint="eastAsia" w:cs="宋体"/>
          <w:color w:val="auto"/>
          <w:spacing w:val="27"/>
          <w:sz w:val="24"/>
          <w:shd w:val="clear" w:color="auto" w:fill="FFFFFF"/>
        </w:rPr>
      </w:pPr>
      <w:r>
        <w:rPr>
          <w:rFonts w:hint="eastAsia" w:cs="宋体"/>
          <w:color w:val="auto"/>
          <w:spacing w:val="27"/>
          <w:sz w:val="24"/>
          <w:shd w:val="clear" w:color="auto" w:fill="FFFFFF"/>
        </w:rPr>
        <w:t>建筑机电安装工程6家；</w:t>
      </w:r>
    </w:p>
    <w:p w14:paraId="465EF640">
      <w:pPr>
        <w:pStyle w:val="70"/>
        <w:numPr>
          <w:ilvl w:val="255"/>
          <w:numId w:val="0"/>
        </w:numPr>
        <w:spacing w:line="420" w:lineRule="exact"/>
        <w:ind w:left="420"/>
        <w:rPr>
          <w:rFonts w:hint="eastAsia" w:cs="宋体"/>
          <w:color w:val="auto"/>
          <w:spacing w:val="27"/>
          <w:sz w:val="24"/>
          <w:shd w:val="clear" w:color="auto" w:fill="FFFFFF"/>
        </w:rPr>
      </w:pPr>
      <w:r>
        <w:rPr>
          <w:rFonts w:hint="eastAsia" w:cs="宋体"/>
          <w:color w:val="auto"/>
          <w:spacing w:val="27"/>
          <w:sz w:val="24"/>
          <w:shd w:val="clear" w:color="auto" w:fill="FFFFFF"/>
        </w:rPr>
        <w:t>外立面幕墙工程3家；</w:t>
      </w:r>
    </w:p>
    <w:p w14:paraId="14AD1369">
      <w:pPr>
        <w:pStyle w:val="70"/>
        <w:numPr>
          <w:ilvl w:val="255"/>
          <w:numId w:val="0"/>
        </w:numPr>
        <w:spacing w:line="420" w:lineRule="exact"/>
        <w:ind w:left="420"/>
        <w:rPr>
          <w:rFonts w:ascii="宋体" w:hAnsi="宋体" w:eastAsia="宋体" w:cs="宋体"/>
          <w:color w:val="auto"/>
          <w:spacing w:val="27"/>
          <w:sz w:val="24"/>
          <w:shd w:val="clear" w:color="auto" w:fill="FFFFFF"/>
        </w:rPr>
      </w:pPr>
      <w:r>
        <w:rPr>
          <w:rFonts w:hint="eastAsia" w:cs="宋体"/>
          <w:color w:val="auto"/>
          <w:spacing w:val="27"/>
          <w:sz w:val="24"/>
          <w:shd w:val="clear" w:color="auto" w:fill="FFFFFF"/>
        </w:rPr>
        <w:t>塔吊人货梯工程2家。</w:t>
      </w:r>
    </w:p>
    <w:p w14:paraId="19FE3F4C">
      <w:pPr>
        <w:pStyle w:val="70"/>
        <w:numPr>
          <w:ilvl w:val="0"/>
          <w:numId w:val="2"/>
        </w:numPr>
        <w:spacing w:line="420" w:lineRule="exact"/>
        <w:ind w:firstLineChars="0"/>
        <w:rPr>
          <w:rFonts w:ascii="宋体" w:hAnsi="宋体" w:eastAsia="宋体" w:cs="宋体"/>
          <w:color w:val="auto"/>
          <w:spacing w:val="27"/>
          <w:sz w:val="24"/>
          <w:shd w:val="clear" w:color="auto" w:fill="FFFFFF"/>
        </w:rPr>
      </w:pPr>
      <w:r>
        <w:rPr>
          <w:rFonts w:cs="宋体"/>
          <w:color w:val="auto"/>
          <w:spacing w:val="27"/>
          <w:sz w:val="24"/>
          <w:shd w:val="clear" w:color="auto" w:fill="FFFFFF"/>
        </w:rPr>
        <w:t>根据今后项目实施需要，各专业工程施工承包企业将组建候补【按考察得分从高到低依次候补】入驻企业家数：</w:t>
      </w:r>
    </w:p>
    <w:p w14:paraId="52A8BF33">
      <w:pPr>
        <w:pStyle w:val="70"/>
        <w:numPr>
          <w:ilvl w:val="255"/>
          <w:numId w:val="0"/>
        </w:numPr>
        <w:spacing w:line="420" w:lineRule="exact"/>
        <w:ind w:left="420"/>
        <w:rPr>
          <w:rFonts w:hint="eastAsia" w:cs="宋体"/>
          <w:color w:val="auto"/>
          <w:spacing w:val="27"/>
          <w:sz w:val="24"/>
          <w:shd w:val="clear" w:color="auto" w:fill="FFFFFF"/>
        </w:rPr>
      </w:pPr>
      <w:r>
        <w:rPr>
          <w:rFonts w:hint="eastAsia" w:cs="宋体"/>
          <w:color w:val="auto"/>
          <w:spacing w:val="27"/>
          <w:sz w:val="24"/>
          <w:shd w:val="clear" w:color="auto" w:fill="FFFFFF"/>
        </w:rPr>
        <w:t>建筑机电安装工程6家；</w:t>
      </w:r>
    </w:p>
    <w:p w14:paraId="311EF74C">
      <w:pPr>
        <w:pStyle w:val="70"/>
        <w:numPr>
          <w:ilvl w:val="255"/>
          <w:numId w:val="0"/>
        </w:numPr>
        <w:spacing w:line="420" w:lineRule="exact"/>
        <w:ind w:left="420"/>
        <w:rPr>
          <w:rFonts w:hint="eastAsia" w:cs="宋体"/>
          <w:color w:val="auto"/>
          <w:spacing w:val="27"/>
          <w:sz w:val="24"/>
          <w:shd w:val="clear" w:color="auto" w:fill="FFFFFF"/>
        </w:rPr>
      </w:pPr>
      <w:r>
        <w:rPr>
          <w:rFonts w:hint="eastAsia" w:cs="宋体"/>
          <w:color w:val="auto"/>
          <w:spacing w:val="27"/>
          <w:sz w:val="24"/>
          <w:shd w:val="clear" w:color="auto" w:fill="FFFFFF"/>
        </w:rPr>
        <w:t>外立面幕墙工程6家；</w:t>
      </w:r>
    </w:p>
    <w:p w14:paraId="620C25DB">
      <w:pPr>
        <w:pStyle w:val="70"/>
        <w:numPr>
          <w:ilvl w:val="255"/>
          <w:numId w:val="0"/>
        </w:numPr>
        <w:spacing w:line="420" w:lineRule="exact"/>
        <w:ind w:left="420"/>
        <w:rPr>
          <w:rFonts w:ascii="宋体" w:hAnsi="宋体" w:eastAsia="宋体" w:cs="宋体"/>
          <w:color w:val="auto"/>
          <w:spacing w:val="27"/>
          <w:sz w:val="24"/>
          <w:shd w:val="clear" w:color="auto" w:fill="FFFFFF"/>
        </w:rPr>
      </w:pPr>
      <w:r>
        <w:rPr>
          <w:rFonts w:hint="eastAsia" w:cs="宋体"/>
          <w:color w:val="auto"/>
          <w:spacing w:val="27"/>
          <w:sz w:val="24"/>
          <w:shd w:val="clear" w:color="auto" w:fill="FFFFFF"/>
        </w:rPr>
        <w:t>塔吊人货梯工程6家。</w:t>
      </w:r>
    </w:p>
    <w:p w14:paraId="01D9D842">
      <w:pPr>
        <w:numPr>
          <w:ilvl w:val="0"/>
          <w:numId w:val="3"/>
        </w:numPr>
        <w:spacing w:line="480" w:lineRule="auto"/>
        <w:ind w:firstLine="361" w:firstLineChars="150"/>
        <w:rPr>
          <w:rFonts w:ascii="宋体" w:hAnsi="宋体" w:cs="宋体"/>
          <w:b/>
          <w:bCs/>
          <w:color w:val="auto"/>
          <w:sz w:val="24"/>
          <w:szCs w:val="24"/>
        </w:rPr>
      </w:pPr>
      <w:r>
        <w:rPr>
          <w:rFonts w:hint="eastAsia" w:ascii="宋体" w:hAnsi="宋体" w:cs="宋体"/>
          <w:b/>
          <w:bCs/>
          <w:color w:val="auto"/>
          <w:sz w:val="24"/>
          <w:szCs w:val="24"/>
        </w:rPr>
        <w:t>邀请方的其他要求</w:t>
      </w:r>
      <w:bookmarkStart w:id="24" w:name="EB62a0389611d849a7a02cef0be3ed3cb7"/>
      <w:bookmarkEnd w:id="24"/>
    </w:p>
    <w:p w14:paraId="66E92B71">
      <w:pPr>
        <w:spacing w:line="480" w:lineRule="auto"/>
        <w:ind w:firstLine="360" w:firstLineChars="150"/>
        <w:jc w:val="left"/>
        <w:rPr>
          <w:rFonts w:ascii="宋体" w:hAnsi="宋体" w:cs="宋体"/>
          <w:bCs/>
          <w:color w:val="auto"/>
          <w:spacing w:val="-6"/>
          <w:sz w:val="24"/>
          <w:szCs w:val="24"/>
        </w:rPr>
      </w:pPr>
      <w:r>
        <w:rPr>
          <w:rFonts w:hint="eastAsia" w:ascii="宋体" w:hAnsi="宋体" w:cs="宋体"/>
          <w:bCs/>
          <w:color w:val="auto"/>
          <w:sz w:val="24"/>
          <w:szCs w:val="24"/>
        </w:rPr>
        <w:t>资格审查所需的</w:t>
      </w:r>
      <w:r>
        <w:rPr>
          <w:rFonts w:hint="eastAsia" w:ascii="宋体" w:hAnsi="宋体" w:cs="宋体"/>
          <w:bCs/>
          <w:color w:val="auto"/>
          <w:spacing w:val="-6"/>
          <w:sz w:val="24"/>
          <w:szCs w:val="24"/>
        </w:rPr>
        <w:t>证书、证件、资料均</w:t>
      </w:r>
      <w:r>
        <w:rPr>
          <w:rFonts w:hint="eastAsia" w:ascii="宋体" w:hAnsi="宋体" w:cs="宋体"/>
          <w:bCs/>
          <w:color w:val="auto"/>
          <w:sz w:val="24"/>
          <w:szCs w:val="24"/>
        </w:rPr>
        <w:t>应提供</w:t>
      </w:r>
      <w:r>
        <w:rPr>
          <w:rFonts w:hint="eastAsia" w:ascii="宋体" w:hAnsi="宋体" w:cs="宋体"/>
          <w:bCs/>
          <w:color w:val="auto"/>
          <w:spacing w:val="-6"/>
          <w:sz w:val="24"/>
          <w:szCs w:val="24"/>
        </w:rPr>
        <w:t>真实性材料进行审查，全部满足条件为合格，否则，为不合格。</w:t>
      </w:r>
    </w:p>
    <w:p w14:paraId="1551CFC1">
      <w:pPr>
        <w:pStyle w:val="36"/>
        <w:ind w:firstLine="228"/>
        <w:rPr>
          <w:rFonts w:ascii="宋体" w:hAnsi="宋体" w:cs="宋体"/>
          <w:b/>
          <w:bCs/>
          <w:color w:val="auto"/>
          <w:spacing w:val="27"/>
          <w:sz w:val="24"/>
          <w:szCs w:val="24"/>
        </w:rPr>
      </w:pPr>
      <w:r>
        <w:rPr>
          <w:rFonts w:hint="eastAsia" w:ascii="宋体" w:hAnsi="宋体" w:cs="宋体"/>
          <w:bCs/>
          <w:color w:val="auto"/>
          <w:spacing w:val="-6"/>
          <w:sz w:val="24"/>
          <w:szCs w:val="24"/>
        </w:rPr>
        <w:t xml:space="preserve">  </w:t>
      </w:r>
      <w:r>
        <w:rPr>
          <w:rStyle w:val="32"/>
          <w:rFonts w:hint="eastAsia" w:ascii="宋体" w:hAnsi="宋体" w:cs="宋体"/>
          <w:bCs/>
          <w:color w:val="auto"/>
          <w:spacing w:val="27"/>
          <w:sz w:val="24"/>
          <w:szCs w:val="24"/>
          <w:shd w:val="clear" w:color="auto" w:fill="FFFFFF"/>
        </w:rPr>
        <w:t xml:space="preserve"> 六、入驻企业管理制度</w:t>
      </w:r>
    </w:p>
    <w:p w14:paraId="68B583AA">
      <w:pPr>
        <w:pStyle w:val="26"/>
        <w:shd w:val="clear" w:color="auto" w:fill="FFFFFF"/>
        <w:spacing w:line="460" w:lineRule="exact"/>
        <w:rPr>
          <w:rFonts w:hint="default" w:ascii="宋体" w:hAnsi="宋体" w:eastAsia="宋体" w:cs="宋体"/>
          <w:color w:val="auto"/>
          <w:spacing w:val="27"/>
          <w:shd w:val="clear" w:color="auto" w:fill="FFFFFF"/>
        </w:rPr>
      </w:pPr>
      <w:r>
        <w:rPr>
          <w:rFonts w:ascii="宋体" w:hAnsi="宋体" w:eastAsia="宋体" w:cs="宋体"/>
          <w:color w:val="auto"/>
          <w:spacing w:val="27"/>
          <w:szCs w:val="24"/>
          <w:shd w:val="clear" w:color="auto" w:fill="FFFFFF"/>
        </w:rPr>
        <w:t>   </w:t>
      </w:r>
      <w:r>
        <w:rPr>
          <w:rFonts w:ascii="宋体" w:hAnsi="宋体" w:eastAsia="宋体" w:cs="宋体"/>
          <w:color w:val="auto"/>
          <w:spacing w:val="27"/>
          <w:shd w:val="clear" w:color="auto" w:fill="FFFFFF"/>
        </w:rPr>
        <w:t>对入驻企业实行动态管理，入驻企业名录原则上每一年考核一次（针对入驻单位进行考核评分，评分不合格的单位予以清除）。对已入驻企业如在投标或履约过程中存在违法违规行为的，经邀请方审核确定后即时清除出入驻名单，列入黑名单，禁止再次参与邀请方所有项目的入驻活动，并上报住建主管部门。本公告内遇相关招投标方式政策变动，经我单位同意后，以国家政策为依据。</w:t>
      </w:r>
    </w:p>
    <w:p w14:paraId="34DE531B">
      <w:pPr>
        <w:pStyle w:val="26"/>
        <w:shd w:val="clear" w:color="auto" w:fill="FFFFFF"/>
        <w:spacing w:line="460" w:lineRule="exact"/>
        <w:ind w:firstLine="588" w:firstLineChars="200"/>
        <w:jc w:val="both"/>
        <w:rPr>
          <w:rFonts w:hint="default" w:ascii="宋体" w:hAnsi="宋体" w:eastAsia="宋体" w:cs="宋体"/>
          <w:color w:val="auto"/>
          <w:spacing w:val="27"/>
        </w:rPr>
      </w:pPr>
      <w:r>
        <w:rPr>
          <w:rFonts w:ascii="宋体" w:hAnsi="宋体" w:eastAsia="宋体" w:cs="宋体"/>
          <w:color w:val="auto"/>
          <w:spacing w:val="27"/>
          <w:shd w:val="clear" w:color="auto" w:fill="FFFFFF"/>
        </w:rPr>
        <w:t>入驻企业出现下列情况之一的将清除出入驻企业名单，列入黑名单，并上报住建主管部门，投标保证金不予退还，且两年内不得参加邀请方所有项目的投标活动，情节严重构成犯罪的移交司法机关依法处理。</w:t>
      </w:r>
    </w:p>
    <w:p w14:paraId="1DFF7A59">
      <w:pPr>
        <w:widowControl/>
        <w:numPr>
          <w:ilvl w:val="0"/>
          <w:numId w:val="4"/>
        </w:numPr>
        <w:spacing w:line="300" w:lineRule="auto"/>
        <w:ind w:left="284" w:firstLine="0"/>
        <w:rPr>
          <w:rFonts w:ascii="宋体" w:hAnsi="宋体" w:cs="宋体"/>
          <w:color w:val="auto"/>
          <w:spacing w:val="27"/>
          <w:kern w:val="0"/>
          <w:sz w:val="24"/>
          <w:shd w:val="clear" w:color="auto" w:fill="FFFFFF"/>
        </w:rPr>
      </w:pPr>
      <w:bookmarkStart w:id="25" w:name="_Hlk179535580"/>
      <w:bookmarkStart w:id="26" w:name="_Hlk179809117"/>
      <w:r>
        <w:rPr>
          <w:rFonts w:hint="eastAsia" w:ascii="宋体" w:hAnsi="宋体" w:cs="宋体"/>
          <w:color w:val="auto"/>
          <w:spacing w:val="27"/>
          <w:kern w:val="0"/>
          <w:sz w:val="24"/>
          <w:shd w:val="clear" w:color="auto" w:fill="FFFFFF"/>
        </w:rPr>
        <w:t>因偷工减料、弄虚作假等行为致使发生安全质量责任事故，造成公司经济受到严重损失或形象受到严重损害的。</w:t>
      </w:r>
    </w:p>
    <w:p w14:paraId="03540265">
      <w:pPr>
        <w:widowControl/>
        <w:numPr>
          <w:ilvl w:val="0"/>
          <w:numId w:val="4"/>
        </w:numPr>
        <w:spacing w:line="300" w:lineRule="auto"/>
        <w:ind w:left="284" w:firstLine="0"/>
        <w:rPr>
          <w:rFonts w:ascii="宋体" w:hAnsi="宋体" w:cs="宋体"/>
          <w:color w:val="auto"/>
          <w:spacing w:val="27"/>
          <w:kern w:val="0"/>
          <w:sz w:val="24"/>
          <w:shd w:val="clear" w:color="auto" w:fill="FFFFFF"/>
        </w:rPr>
      </w:pPr>
      <w:r>
        <w:rPr>
          <w:rFonts w:hint="eastAsia" w:ascii="宋体" w:hAnsi="宋体" w:cs="宋体"/>
          <w:color w:val="auto"/>
          <w:spacing w:val="27"/>
          <w:kern w:val="0"/>
          <w:sz w:val="24"/>
          <w:shd w:val="clear" w:color="auto" w:fill="FFFFFF"/>
        </w:rPr>
        <w:t>存在质量缺陷、安全隐患，整改不及时或隐瞒不报，给公司造成较大经济损失或负面影响的。</w:t>
      </w:r>
    </w:p>
    <w:p w14:paraId="018A8B16">
      <w:pPr>
        <w:widowControl/>
        <w:numPr>
          <w:ilvl w:val="0"/>
          <w:numId w:val="4"/>
        </w:numPr>
        <w:spacing w:line="300" w:lineRule="auto"/>
        <w:ind w:left="284" w:firstLine="0"/>
        <w:rPr>
          <w:rFonts w:ascii="宋体" w:hAnsi="宋体" w:cs="宋体"/>
          <w:color w:val="auto"/>
          <w:spacing w:val="27"/>
          <w:kern w:val="0"/>
          <w:sz w:val="24"/>
          <w:shd w:val="clear" w:color="auto" w:fill="FFFFFF"/>
        </w:rPr>
      </w:pPr>
      <w:r>
        <w:rPr>
          <w:rFonts w:hint="eastAsia" w:ascii="宋体" w:hAnsi="宋体" w:cs="宋体"/>
          <w:color w:val="auto"/>
          <w:spacing w:val="27"/>
          <w:kern w:val="0"/>
          <w:sz w:val="24"/>
          <w:shd w:val="clear" w:color="auto" w:fill="FFFFFF"/>
        </w:rPr>
        <w:t>拒不服从公司及项目部管理，以非正当理由擅自停工、阻工或引发群体性事件的。</w:t>
      </w:r>
    </w:p>
    <w:p w14:paraId="4C3E7815">
      <w:pPr>
        <w:widowControl/>
        <w:numPr>
          <w:ilvl w:val="0"/>
          <w:numId w:val="4"/>
        </w:numPr>
        <w:spacing w:line="300" w:lineRule="auto"/>
        <w:ind w:left="284" w:firstLine="0"/>
        <w:rPr>
          <w:rFonts w:ascii="宋体" w:hAnsi="宋体" w:cs="宋体"/>
          <w:color w:val="auto"/>
          <w:spacing w:val="27"/>
          <w:kern w:val="0"/>
          <w:sz w:val="24"/>
          <w:shd w:val="clear" w:color="auto" w:fill="FFFFFF"/>
        </w:rPr>
      </w:pPr>
      <w:r>
        <w:rPr>
          <w:rFonts w:hint="eastAsia" w:ascii="宋体" w:hAnsi="宋体" w:cs="宋体"/>
          <w:color w:val="auto"/>
          <w:spacing w:val="27"/>
          <w:kern w:val="0"/>
          <w:sz w:val="24"/>
          <w:shd w:val="clear" w:color="auto" w:fill="FFFFFF"/>
        </w:rPr>
        <w:t>恐吓、威胁公司管理人员和项目部工程管理人员；妨碍公司正常办公和经营活动。</w:t>
      </w:r>
    </w:p>
    <w:p w14:paraId="2C702D47">
      <w:pPr>
        <w:widowControl/>
        <w:numPr>
          <w:ilvl w:val="0"/>
          <w:numId w:val="4"/>
        </w:numPr>
        <w:spacing w:line="300" w:lineRule="auto"/>
        <w:ind w:left="284" w:firstLine="0"/>
        <w:rPr>
          <w:rFonts w:ascii="宋体" w:hAnsi="宋体" w:cs="宋体"/>
          <w:color w:val="auto"/>
          <w:spacing w:val="27"/>
          <w:kern w:val="0"/>
          <w:sz w:val="24"/>
          <w:shd w:val="clear" w:color="auto" w:fill="FFFFFF"/>
        </w:rPr>
      </w:pPr>
      <w:r>
        <w:rPr>
          <w:rFonts w:hint="eastAsia" w:ascii="宋体" w:hAnsi="宋体" w:cs="宋体"/>
          <w:color w:val="auto"/>
          <w:spacing w:val="27"/>
          <w:kern w:val="0"/>
          <w:sz w:val="24"/>
          <w:shd w:val="clear" w:color="auto" w:fill="FFFFFF"/>
        </w:rPr>
        <w:t>存在将分包作业进行转包、违法分包，或资质挂靠行为的。</w:t>
      </w:r>
    </w:p>
    <w:p w14:paraId="1CE071CB">
      <w:pPr>
        <w:widowControl/>
        <w:numPr>
          <w:ilvl w:val="0"/>
          <w:numId w:val="4"/>
        </w:numPr>
        <w:spacing w:line="300" w:lineRule="auto"/>
        <w:ind w:left="284" w:firstLine="0"/>
        <w:rPr>
          <w:rFonts w:ascii="宋体" w:hAnsi="宋体" w:cs="宋体"/>
          <w:color w:val="auto"/>
          <w:spacing w:val="27"/>
          <w:kern w:val="0"/>
          <w:sz w:val="24"/>
          <w:shd w:val="clear" w:color="auto" w:fill="FFFFFF"/>
        </w:rPr>
      </w:pPr>
      <w:r>
        <w:rPr>
          <w:rFonts w:hint="eastAsia" w:ascii="宋体" w:hAnsi="宋体" w:cs="宋体"/>
          <w:color w:val="auto"/>
          <w:spacing w:val="27"/>
          <w:kern w:val="0"/>
          <w:sz w:val="24"/>
          <w:shd w:val="clear" w:color="auto" w:fill="FFFFFF"/>
        </w:rPr>
        <w:t>备案的劳务工劳动合同造假或不与劳务人员签订劳动合同，拒不落实劳务人员实名制管理要求的；恶意拖欠劳务工工资，经公司调解仍拒不整改的；通过人力资源和社会保障局等平台进行恶意举报投诉或进行非法信访，导致公司经济遭受严重损失或形象受到严重损害的。</w:t>
      </w:r>
    </w:p>
    <w:p w14:paraId="512C5E38">
      <w:pPr>
        <w:widowControl/>
        <w:numPr>
          <w:ilvl w:val="0"/>
          <w:numId w:val="4"/>
        </w:numPr>
        <w:spacing w:line="300" w:lineRule="auto"/>
        <w:ind w:left="284" w:firstLine="0"/>
        <w:rPr>
          <w:rFonts w:ascii="宋体" w:hAnsi="宋体" w:cs="宋体"/>
          <w:color w:val="auto"/>
          <w:spacing w:val="27"/>
          <w:kern w:val="0"/>
          <w:sz w:val="24"/>
          <w:shd w:val="clear" w:color="auto" w:fill="FFFFFF"/>
        </w:rPr>
      </w:pPr>
      <w:r>
        <w:rPr>
          <w:rFonts w:hint="eastAsia" w:ascii="宋体" w:hAnsi="宋体" w:cs="宋体"/>
          <w:color w:val="auto"/>
          <w:spacing w:val="27"/>
          <w:kern w:val="0"/>
          <w:sz w:val="24"/>
          <w:shd w:val="clear" w:color="auto" w:fill="FFFFFF"/>
        </w:rPr>
        <w:t>不履行劳务工管理要求，在实名制和工资发放方面弄虚作假，假借拖欠劳务工工资名义以各种方式恶意讨薪的。</w:t>
      </w:r>
    </w:p>
    <w:p w14:paraId="1133B30B">
      <w:pPr>
        <w:widowControl/>
        <w:numPr>
          <w:ilvl w:val="0"/>
          <w:numId w:val="4"/>
        </w:numPr>
        <w:spacing w:line="300" w:lineRule="auto"/>
        <w:ind w:left="284" w:firstLine="0"/>
        <w:rPr>
          <w:rFonts w:ascii="宋体" w:hAnsi="宋体" w:cs="宋体"/>
          <w:color w:val="auto"/>
          <w:spacing w:val="27"/>
          <w:kern w:val="0"/>
          <w:sz w:val="24"/>
          <w:shd w:val="clear" w:color="auto" w:fill="FFFFFF"/>
        </w:rPr>
      </w:pPr>
      <w:r>
        <w:rPr>
          <w:rFonts w:hint="eastAsia" w:ascii="宋体" w:hAnsi="宋体" w:cs="宋体"/>
          <w:color w:val="auto"/>
          <w:spacing w:val="27"/>
          <w:kern w:val="0"/>
          <w:sz w:val="24"/>
          <w:shd w:val="clear" w:color="auto" w:fill="FFFFFF"/>
        </w:rPr>
        <w:t>因分包企业及班组自身原因致使工期严重滞后的。</w:t>
      </w:r>
    </w:p>
    <w:p w14:paraId="589B4AB6">
      <w:pPr>
        <w:widowControl/>
        <w:numPr>
          <w:ilvl w:val="0"/>
          <w:numId w:val="4"/>
        </w:numPr>
        <w:spacing w:line="300" w:lineRule="auto"/>
        <w:ind w:left="284" w:firstLine="0"/>
        <w:rPr>
          <w:rFonts w:ascii="宋体" w:hAnsi="宋体" w:cs="宋体"/>
          <w:color w:val="auto"/>
          <w:spacing w:val="27"/>
          <w:kern w:val="0"/>
          <w:sz w:val="24"/>
          <w:shd w:val="clear" w:color="auto" w:fill="FFFFFF"/>
        </w:rPr>
      </w:pPr>
      <w:r>
        <w:rPr>
          <w:rFonts w:hint="eastAsia" w:ascii="宋体" w:hAnsi="宋体" w:cs="宋体"/>
          <w:color w:val="auto"/>
          <w:spacing w:val="27"/>
          <w:kern w:val="0"/>
          <w:sz w:val="24"/>
          <w:shd w:val="clear" w:color="auto" w:fill="FFFFFF"/>
        </w:rPr>
        <w:t>在资格评审过程中，分包企业及班组法人资格、资质等证照造假、伪造的。</w:t>
      </w:r>
    </w:p>
    <w:p w14:paraId="2D074467">
      <w:pPr>
        <w:widowControl/>
        <w:numPr>
          <w:ilvl w:val="0"/>
          <w:numId w:val="4"/>
        </w:numPr>
        <w:spacing w:line="300" w:lineRule="auto"/>
        <w:ind w:left="284" w:firstLine="0"/>
        <w:rPr>
          <w:rFonts w:ascii="宋体" w:hAnsi="宋体" w:cs="宋体"/>
          <w:color w:val="auto"/>
          <w:spacing w:val="27"/>
          <w:kern w:val="0"/>
          <w:sz w:val="24"/>
          <w:shd w:val="clear" w:color="auto" w:fill="FFFFFF"/>
        </w:rPr>
      </w:pPr>
      <w:r>
        <w:rPr>
          <w:rFonts w:hint="eastAsia" w:ascii="宋体" w:hAnsi="宋体" w:cs="宋体"/>
          <w:color w:val="auto"/>
          <w:spacing w:val="27"/>
          <w:kern w:val="0"/>
          <w:sz w:val="24"/>
          <w:shd w:val="clear" w:color="auto" w:fill="FFFFFF"/>
        </w:rPr>
        <w:t>在投标过程中围标、串标或以不正当手段获取中标的。</w:t>
      </w:r>
    </w:p>
    <w:p w14:paraId="0C8A4AC3">
      <w:pPr>
        <w:widowControl/>
        <w:numPr>
          <w:ilvl w:val="0"/>
          <w:numId w:val="4"/>
        </w:numPr>
        <w:spacing w:line="300" w:lineRule="auto"/>
        <w:ind w:left="284" w:firstLine="0"/>
        <w:rPr>
          <w:rFonts w:ascii="宋体" w:hAnsi="宋体" w:cs="宋体"/>
          <w:color w:val="auto"/>
          <w:spacing w:val="27"/>
          <w:kern w:val="0"/>
          <w:sz w:val="24"/>
          <w:shd w:val="clear" w:color="auto" w:fill="FFFFFF"/>
        </w:rPr>
      </w:pPr>
      <w:r>
        <w:rPr>
          <w:rFonts w:hint="eastAsia" w:ascii="宋体" w:hAnsi="宋体" w:cs="宋体"/>
          <w:color w:val="auto"/>
          <w:spacing w:val="27"/>
          <w:kern w:val="0"/>
          <w:sz w:val="24"/>
          <w:shd w:val="clear" w:color="auto" w:fill="FFFFFF"/>
        </w:rPr>
        <w:t>在投标过程中不讲诚信，无故放弃中标给企业造成不良影响的。</w:t>
      </w:r>
    </w:p>
    <w:p w14:paraId="70B53FC5">
      <w:pPr>
        <w:widowControl/>
        <w:numPr>
          <w:ilvl w:val="0"/>
          <w:numId w:val="4"/>
        </w:numPr>
        <w:spacing w:line="300" w:lineRule="auto"/>
        <w:ind w:left="284" w:firstLine="0"/>
        <w:rPr>
          <w:rFonts w:ascii="宋体" w:hAnsi="宋体" w:cs="宋体"/>
          <w:color w:val="auto"/>
          <w:spacing w:val="27"/>
          <w:kern w:val="0"/>
          <w:sz w:val="24"/>
          <w:shd w:val="clear" w:color="auto" w:fill="FFFFFF"/>
        </w:rPr>
      </w:pPr>
      <w:r>
        <w:rPr>
          <w:rFonts w:hint="eastAsia" w:ascii="宋体" w:hAnsi="宋体" w:cs="宋体"/>
          <w:color w:val="auto"/>
          <w:spacing w:val="27"/>
          <w:kern w:val="0"/>
          <w:sz w:val="24"/>
          <w:shd w:val="clear" w:color="auto" w:fill="FFFFFF"/>
        </w:rPr>
        <w:t>施工过程中触碰质量安全红线受到建设单位处罚的或被业主单位通报为不合格或要求清退的。</w:t>
      </w:r>
    </w:p>
    <w:p w14:paraId="01D5ABF7">
      <w:pPr>
        <w:widowControl/>
        <w:numPr>
          <w:ilvl w:val="0"/>
          <w:numId w:val="4"/>
        </w:numPr>
        <w:spacing w:line="300" w:lineRule="auto"/>
        <w:ind w:left="284" w:firstLine="0"/>
        <w:rPr>
          <w:rFonts w:ascii="宋体" w:hAnsi="宋体" w:cs="宋体"/>
          <w:color w:val="auto"/>
          <w:spacing w:val="27"/>
          <w:kern w:val="0"/>
          <w:sz w:val="24"/>
          <w:shd w:val="clear" w:color="auto" w:fill="FFFFFF"/>
        </w:rPr>
      </w:pPr>
      <w:r>
        <w:rPr>
          <w:rFonts w:hint="eastAsia" w:ascii="宋体" w:hAnsi="宋体" w:cs="宋体"/>
          <w:color w:val="auto"/>
          <w:spacing w:val="27"/>
          <w:kern w:val="0"/>
          <w:sz w:val="24"/>
          <w:shd w:val="clear" w:color="auto" w:fill="FFFFFF"/>
        </w:rPr>
        <w:t>与公司发生经济纠纷后，不通过正常渠道解决，无理取闹或企图采用不正当手段，导致公司经济受到严重损失或形象受到严重损害的在履约过程中为获取不当利益而行贿的。</w:t>
      </w:r>
    </w:p>
    <w:p w14:paraId="2BA03F79">
      <w:pPr>
        <w:widowControl/>
        <w:numPr>
          <w:ilvl w:val="0"/>
          <w:numId w:val="4"/>
        </w:numPr>
        <w:spacing w:line="300" w:lineRule="auto"/>
        <w:ind w:left="284" w:firstLine="0"/>
        <w:rPr>
          <w:rFonts w:ascii="宋体" w:hAnsi="宋体" w:cs="宋体"/>
          <w:color w:val="auto"/>
          <w:spacing w:val="27"/>
          <w:kern w:val="0"/>
          <w:sz w:val="24"/>
          <w:shd w:val="clear" w:color="auto" w:fill="FFFFFF"/>
        </w:rPr>
      </w:pPr>
      <w:r>
        <w:rPr>
          <w:rFonts w:hint="eastAsia" w:ascii="宋体" w:hAnsi="宋体" w:cs="宋体"/>
          <w:color w:val="auto"/>
          <w:spacing w:val="27"/>
          <w:kern w:val="0"/>
          <w:sz w:val="24"/>
          <w:shd w:val="clear" w:color="auto" w:fill="FFFFFF"/>
        </w:rPr>
        <w:t>在履约过程中为获取不当利益而行贿的。</w:t>
      </w:r>
    </w:p>
    <w:p w14:paraId="63C2FA45">
      <w:pPr>
        <w:widowControl/>
        <w:numPr>
          <w:ilvl w:val="0"/>
          <w:numId w:val="4"/>
        </w:numPr>
        <w:spacing w:line="300" w:lineRule="auto"/>
        <w:ind w:left="284" w:firstLine="0"/>
        <w:rPr>
          <w:rFonts w:ascii="宋体" w:hAnsi="宋体" w:cs="宋体"/>
          <w:color w:val="auto"/>
          <w:spacing w:val="27"/>
          <w:kern w:val="0"/>
          <w:sz w:val="24"/>
          <w:shd w:val="clear" w:color="auto" w:fill="FFFFFF"/>
        </w:rPr>
      </w:pPr>
      <w:r>
        <w:rPr>
          <w:rFonts w:hint="eastAsia" w:ascii="宋体" w:hAnsi="宋体" w:cs="宋体"/>
          <w:color w:val="auto"/>
          <w:spacing w:val="27"/>
          <w:kern w:val="0"/>
          <w:sz w:val="24"/>
          <w:shd w:val="clear" w:color="auto" w:fill="FFFFFF"/>
        </w:rPr>
        <w:t>除以上情形外，存在其他行为给公司造成严重经济损失或带来恶劣社会影响的</w:t>
      </w:r>
      <w:bookmarkEnd w:id="25"/>
      <w:r>
        <w:rPr>
          <w:rFonts w:ascii="宋体" w:hAnsi="宋体" w:cs="宋体"/>
          <w:color w:val="auto"/>
          <w:spacing w:val="27"/>
          <w:kern w:val="0"/>
          <w:sz w:val="24"/>
          <w:shd w:val="clear" w:color="auto" w:fill="FFFFFF"/>
        </w:rPr>
        <w:t>；</w:t>
      </w:r>
    </w:p>
    <w:p w14:paraId="53150AF0">
      <w:pPr>
        <w:pStyle w:val="36"/>
        <w:ind w:firstLine="280"/>
        <w:rPr>
          <w:color w:val="auto"/>
        </w:rPr>
      </w:pPr>
    </w:p>
    <w:p w14:paraId="04904D36">
      <w:pPr>
        <w:pStyle w:val="37"/>
        <w:rPr>
          <w:color w:val="auto"/>
        </w:rPr>
      </w:pPr>
    </w:p>
    <w:bookmarkEnd w:id="26"/>
    <w:p w14:paraId="1D7B05B8">
      <w:pPr>
        <w:pStyle w:val="37"/>
        <w:ind w:left="0" w:leftChars="0"/>
        <w:rPr>
          <w:color w:val="auto"/>
        </w:rPr>
      </w:pPr>
    </w:p>
    <w:tbl>
      <w:tblPr>
        <w:tblStyle w:val="29"/>
        <w:tblW w:w="9027" w:type="dxa"/>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500"/>
        <w:gridCol w:w="775"/>
        <w:gridCol w:w="4017"/>
      </w:tblGrid>
      <w:tr w14:paraId="70E3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7" w:hRule="atLeast"/>
        </w:trPr>
        <w:tc>
          <w:tcPr>
            <w:tcW w:w="9027" w:type="dxa"/>
            <w:gridSpan w:val="4"/>
            <w:tcBorders>
              <w:top w:val="single" w:color="auto" w:sz="4" w:space="0"/>
              <w:left w:val="single" w:color="auto" w:sz="4" w:space="0"/>
              <w:bottom w:val="single" w:color="auto" w:sz="4" w:space="0"/>
              <w:right w:val="single" w:color="auto" w:sz="4" w:space="0"/>
            </w:tcBorders>
          </w:tcPr>
          <w:p w14:paraId="5D10328A">
            <w:pPr>
              <w:pStyle w:val="26"/>
              <w:numPr>
                <w:ilvl w:val="255"/>
                <w:numId w:val="0"/>
              </w:numPr>
              <w:shd w:val="clear" w:color="auto" w:fill="FFFFFF"/>
              <w:spacing w:line="460" w:lineRule="exact"/>
              <w:rPr>
                <w:rFonts w:ascii="宋体" w:hAnsi="宋体"/>
                <w:bCs/>
                <w:color w:val="auto"/>
                <w:sz w:val="24"/>
                <w:szCs w:val="24"/>
              </w:rPr>
            </w:pPr>
            <w:r>
              <w:rPr>
                <w:rFonts w:hint="eastAsia" w:ascii="宋体" w:hAnsi="宋体"/>
                <w:bCs/>
                <w:color w:val="auto"/>
                <w:sz w:val="24"/>
                <w:szCs w:val="24"/>
              </w:rPr>
              <w:t>其他需要说明的事项：</w:t>
            </w:r>
          </w:p>
          <w:p w14:paraId="0B9C5258">
            <w:pPr>
              <w:pStyle w:val="26"/>
              <w:numPr>
                <w:ilvl w:val="255"/>
                <w:numId w:val="0"/>
              </w:numPr>
              <w:shd w:val="clear" w:color="auto" w:fill="FFFFFF"/>
              <w:spacing w:line="460" w:lineRule="exact"/>
              <w:jc w:val="both"/>
              <w:rPr>
                <w:rFonts w:hint="default" w:ascii="宋体" w:hAnsi="宋体" w:eastAsia="宋体" w:cs="宋体"/>
                <w:color w:val="auto"/>
                <w:spacing w:val="27"/>
                <w:shd w:val="clear" w:color="auto" w:fill="FFFFFF"/>
              </w:rPr>
            </w:pPr>
            <w:r>
              <w:rPr>
                <w:rFonts w:ascii="宋体" w:hAnsi="宋体" w:eastAsia="宋体" w:cs="宋体"/>
                <w:color w:val="auto"/>
                <w:spacing w:val="27"/>
                <w:shd w:val="clear" w:color="auto" w:fill="FFFFFF"/>
              </w:rPr>
              <w:t>1、</w:t>
            </w:r>
            <w:r>
              <w:rPr>
                <w:rFonts w:hint="default" w:ascii="宋体" w:hAnsi="宋体" w:eastAsia="宋体" w:cs="宋体"/>
                <w:color w:val="auto"/>
                <w:spacing w:val="27"/>
                <w:shd w:val="clear" w:color="auto" w:fill="FFFFFF"/>
              </w:rPr>
              <w:t>本</w:t>
            </w:r>
            <w:r>
              <w:rPr>
                <w:rFonts w:ascii="宋体" w:hAnsi="宋体" w:eastAsia="宋体" w:cs="宋体"/>
                <w:color w:val="auto"/>
                <w:spacing w:val="27"/>
                <w:shd w:val="clear" w:color="auto" w:fill="FFFFFF"/>
              </w:rPr>
              <w:t>资格审查文件</w:t>
            </w:r>
            <w:r>
              <w:rPr>
                <w:rFonts w:hint="default" w:ascii="宋体" w:hAnsi="宋体" w:eastAsia="宋体" w:cs="宋体"/>
                <w:color w:val="auto"/>
                <w:spacing w:val="27"/>
                <w:shd w:val="clear" w:color="auto" w:fill="FFFFFF"/>
              </w:rPr>
              <w:t>不产生具体项目的邀标效力，选聘方不保证入驻企业一定能承接到工程项目</w:t>
            </w:r>
          </w:p>
          <w:p w14:paraId="56BB5186">
            <w:pPr>
              <w:pStyle w:val="26"/>
              <w:numPr>
                <w:ilvl w:val="255"/>
                <w:numId w:val="0"/>
              </w:numPr>
              <w:shd w:val="clear" w:color="auto" w:fill="FFFFFF"/>
              <w:spacing w:line="460" w:lineRule="exact"/>
              <w:jc w:val="both"/>
              <w:rPr>
                <w:rFonts w:hint="default" w:ascii="宋体" w:hAnsi="宋体" w:eastAsia="宋体" w:cs="宋体"/>
                <w:b/>
                <w:color w:val="auto"/>
                <w:spacing w:val="27"/>
                <w:shd w:val="clear" w:color="auto" w:fill="FFFFFF"/>
              </w:rPr>
            </w:pPr>
            <w:r>
              <w:rPr>
                <w:rFonts w:ascii="宋体" w:hAnsi="宋体" w:eastAsia="宋体" w:cs="宋体"/>
                <w:color w:val="auto"/>
                <w:spacing w:val="27"/>
                <w:shd w:val="clear" w:color="auto" w:fill="FFFFFF"/>
              </w:rPr>
              <w:t>2、本项目招标代理服务费由入库单位（包含候补单位）在领取入库通知书时按照500元/家向招标代理一次性支付。</w:t>
            </w:r>
            <w:r>
              <w:rPr>
                <w:rFonts w:ascii="宋体" w:hAnsi="宋体" w:eastAsia="宋体" w:cs="宋体"/>
                <w:b/>
                <w:color w:val="auto"/>
                <w:spacing w:val="27"/>
                <w:shd w:val="clear" w:color="auto" w:fill="FFFFFF"/>
              </w:rPr>
              <w:t>入库通知书需在结果公示后</w:t>
            </w:r>
            <w:r>
              <w:rPr>
                <w:rFonts w:ascii="宋体" w:hAnsi="宋体" w:cs="宋体"/>
                <w:b/>
                <w:color w:val="auto"/>
                <w:spacing w:val="27"/>
                <w:shd w:val="clear" w:color="auto" w:fill="FFFFFF"/>
              </w:rPr>
              <w:t>15</w:t>
            </w:r>
            <w:r>
              <w:rPr>
                <w:rFonts w:ascii="宋体" w:hAnsi="宋体" w:eastAsia="宋体" w:cs="宋体"/>
                <w:b/>
                <w:color w:val="auto"/>
                <w:spacing w:val="27"/>
                <w:shd w:val="clear" w:color="auto" w:fill="FFFFFF"/>
              </w:rPr>
              <w:t>日内前往招标代理公司现场领取，入库单位需凭入库通知书原件与邀请方</w:t>
            </w:r>
            <w:r>
              <w:rPr>
                <w:rFonts w:ascii="宋体" w:hAnsi="宋体" w:cs="宋体"/>
                <w:b/>
                <w:color w:val="auto"/>
                <w:spacing w:val="27"/>
                <w:shd w:val="clear" w:color="auto" w:fill="FFFFFF"/>
              </w:rPr>
              <w:t>办理入库</w:t>
            </w:r>
            <w:r>
              <w:rPr>
                <w:rFonts w:ascii="宋体" w:hAnsi="宋体" w:eastAsia="宋体" w:cs="宋体"/>
                <w:b/>
                <w:color w:val="auto"/>
                <w:spacing w:val="27"/>
                <w:shd w:val="clear" w:color="auto" w:fill="FFFFFF"/>
              </w:rPr>
              <w:t>，如未在有效时间内领取入库通知书视为自动放弃入库资格。</w:t>
            </w:r>
            <w:bookmarkStart w:id="35" w:name="_GoBack"/>
            <w:bookmarkEnd w:id="35"/>
            <w:bookmarkStart w:id="27" w:name="EB1a09b5c892704572a54e6fe37272b505"/>
            <w:bookmarkEnd w:id="27"/>
          </w:p>
        </w:tc>
      </w:tr>
      <w:tr w14:paraId="3D53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35" w:type="dxa"/>
            <w:tcBorders>
              <w:top w:val="single" w:color="auto" w:sz="4" w:space="0"/>
              <w:left w:val="single" w:color="auto" w:sz="4" w:space="0"/>
              <w:bottom w:val="single" w:color="auto" w:sz="4" w:space="0"/>
              <w:right w:val="single" w:color="auto" w:sz="4" w:space="0"/>
            </w:tcBorders>
            <w:vAlign w:val="center"/>
          </w:tcPr>
          <w:p w14:paraId="4994AD19">
            <w:pPr>
              <w:spacing w:line="440" w:lineRule="exact"/>
              <w:jc w:val="center"/>
              <w:rPr>
                <w:rFonts w:ascii="宋体" w:hAnsi="宋体"/>
                <w:bCs/>
                <w:color w:val="auto"/>
                <w:sz w:val="24"/>
                <w:szCs w:val="28"/>
              </w:rPr>
            </w:pPr>
            <w:r>
              <w:rPr>
                <w:rFonts w:hint="eastAsia" w:ascii="宋体" w:hAnsi="宋体"/>
                <w:bCs/>
                <w:color w:val="auto"/>
                <w:sz w:val="24"/>
                <w:szCs w:val="28"/>
              </w:rPr>
              <w:t>招标代理单位</w:t>
            </w:r>
          </w:p>
        </w:tc>
        <w:tc>
          <w:tcPr>
            <w:tcW w:w="8292" w:type="dxa"/>
            <w:gridSpan w:val="3"/>
            <w:tcBorders>
              <w:top w:val="single" w:color="auto" w:sz="4" w:space="0"/>
              <w:left w:val="single" w:color="auto" w:sz="4" w:space="0"/>
              <w:bottom w:val="single" w:color="auto" w:sz="4" w:space="0"/>
              <w:right w:val="single" w:color="auto" w:sz="4" w:space="0"/>
            </w:tcBorders>
          </w:tcPr>
          <w:p w14:paraId="53E7F226">
            <w:pPr>
              <w:spacing w:line="440" w:lineRule="exact"/>
              <w:rPr>
                <w:rFonts w:ascii="宋体" w:hAnsi="宋体"/>
                <w:bCs/>
                <w:color w:val="auto"/>
                <w:sz w:val="24"/>
                <w:szCs w:val="24"/>
              </w:rPr>
            </w:pPr>
          </w:p>
          <w:p w14:paraId="127C37F8">
            <w:pPr>
              <w:spacing w:line="440" w:lineRule="exact"/>
              <w:rPr>
                <w:rFonts w:ascii="宋体" w:hAnsi="宋体"/>
                <w:bCs/>
                <w:color w:val="auto"/>
                <w:sz w:val="24"/>
                <w:szCs w:val="24"/>
              </w:rPr>
            </w:pPr>
            <w:r>
              <w:rPr>
                <w:rFonts w:hint="eastAsia" w:ascii="宋体" w:hAnsi="宋体"/>
                <w:bCs/>
                <w:color w:val="auto"/>
                <w:sz w:val="24"/>
                <w:szCs w:val="24"/>
              </w:rPr>
              <w:t>招标代理：  （单位章）</w:t>
            </w:r>
          </w:p>
          <w:p w14:paraId="42422591">
            <w:pPr>
              <w:spacing w:line="440" w:lineRule="exact"/>
              <w:rPr>
                <w:rFonts w:ascii="宋体" w:hAnsi="宋体"/>
                <w:bCs/>
                <w:color w:val="auto"/>
                <w:sz w:val="24"/>
                <w:szCs w:val="24"/>
              </w:rPr>
            </w:pPr>
          </w:p>
          <w:p w14:paraId="626788EA">
            <w:pPr>
              <w:spacing w:line="440" w:lineRule="exact"/>
              <w:rPr>
                <w:rFonts w:ascii="宋体" w:hAnsi="宋体"/>
                <w:bCs/>
                <w:color w:val="auto"/>
                <w:sz w:val="24"/>
                <w:szCs w:val="24"/>
              </w:rPr>
            </w:pPr>
          </w:p>
          <w:p w14:paraId="31CCD502">
            <w:pPr>
              <w:spacing w:line="440" w:lineRule="exact"/>
              <w:rPr>
                <w:rFonts w:ascii="宋体" w:hAnsi="宋体"/>
                <w:bCs/>
                <w:color w:val="auto"/>
                <w:sz w:val="24"/>
                <w:szCs w:val="24"/>
              </w:rPr>
            </w:pPr>
          </w:p>
          <w:p w14:paraId="4546CBF1">
            <w:pPr>
              <w:spacing w:line="440" w:lineRule="exact"/>
              <w:rPr>
                <w:rFonts w:ascii="宋体" w:hAnsi="宋体"/>
                <w:bCs/>
                <w:color w:val="auto"/>
                <w:sz w:val="24"/>
                <w:szCs w:val="24"/>
              </w:rPr>
            </w:pPr>
          </w:p>
          <w:p w14:paraId="53D7874F">
            <w:pPr>
              <w:spacing w:line="440" w:lineRule="exact"/>
              <w:rPr>
                <w:rFonts w:ascii="宋体" w:hAnsi="宋体"/>
                <w:bCs/>
                <w:color w:val="auto"/>
                <w:sz w:val="24"/>
                <w:szCs w:val="24"/>
              </w:rPr>
            </w:pPr>
          </w:p>
          <w:p w14:paraId="591ADC07">
            <w:pPr>
              <w:spacing w:line="440" w:lineRule="exact"/>
              <w:rPr>
                <w:rFonts w:ascii="宋体" w:hAnsi="宋体"/>
                <w:bCs/>
                <w:color w:val="auto"/>
                <w:sz w:val="24"/>
                <w:szCs w:val="24"/>
              </w:rPr>
            </w:pPr>
            <w:r>
              <w:rPr>
                <w:rFonts w:hint="eastAsia" w:ascii="宋体" w:hAnsi="宋体"/>
                <w:bCs/>
                <w:color w:val="auto"/>
                <w:sz w:val="24"/>
                <w:szCs w:val="24"/>
              </w:rPr>
              <w:t>法定代表人：</w:t>
            </w:r>
            <w:bookmarkStart w:id="28" w:name="EB4e2695f952be489294e543091520d7b7"/>
            <w:bookmarkEnd w:id="28"/>
            <w:r>
              <w:rPr>
                <w:rFonts w:hint="eastAsia" w:ascii="宋体" w:hAnsi="宋体"/>
                <w:bCs/>
                <w:color w:val="auto"/>
                <w:sz w:val="24"/>
                <w:szCs w:val="24"/>
              </w:rPr>
              <w:t xml:space="preserve">                                      </w:t>
            </w:r>
            <w:bookmarkStart w:id="29" w:name="EBd982865fc4c04055ba6757faa3df5fee"/>
            <w:bookmarkEnd w:id="29"/>
            <w:r>
              <w:rPr>
                <w:rFonts w:hint="eastAsia" w:ascii="宋体" w:hAnsi="宋体"/>
                <w:bCs/>
                <w:color w:val="auto"/>
                <w:sz w:val="24"/>
                <w:szCs w:val="28"/>
              </w:rPr>
              <w:t>2026年  月  日</w:t>
            </w:r>
          </w:p>
        </w:tc>
      </w:tr>
      <w:tr w14:paraId="46D2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735" w:type="dxa"/>
            <w:tcBorders>
              <w:top w:val="single" w:color="auto" w:sz="4" w:space="0"/>
              <w:left w:val="single" w:color="auto" w:sz="4" w:space="0"/>
              <w:bottom w:val="single" w:color="auto" w:sz="4" w:space="0"/>
              <w:right w:val="single" w:color="auto" w:sz="4" w:space="0"/>
            </w:tcBorders>
            <w:vAlign w:val="center"/>
          </w:tcPr>
          <w:p w14:paraId="735E03DD">
            <w:pPr>
              <w:spacing w:line="300" w:lineRule="exact"/>
              <w:jc w:val="center"/>
              <w:rPr>
                <w:rFonts w:ascii="宋体" w:hAnsi="宋体"/>
                <w:bCs/>
                <w:color w:val="auto"/>
                <w:sz w:val="24"/>
                <w:szCs w:val="24"/>
              </w:rPr>
            </w:pPr>
            <w:r>
              <w:rPr>
                <w:rFonts w:hint="eastAsia" w:ascii="宋体" w:hAnsi="宋体"/>
                <w:bCs/>
                <w:color w:val="auto"/>
                <w:sz w:val="24"/>
                <w:szCs w:val="24"/>
              </w:rPr>
              <w:t>招</w:t>
            </w:r>
          </w:p>
          <w:p w14:paraId="187B8E2D">
            <w:pPr>
              <w:spacing w:line="300" w:lineRule="exact"/>
              <w:jc w:val="center"/>
              <w:rPr>
                <w:rFonts w:ascii="宋体" w:hAnsi="宋体"/>
                <w:bCs/>
                <w:color w:val="auto"/>
                <w:sz w:val="24"/>
                <w:szCs w:val="24"/>
              </w:rPr>
            </w:pPr>
          </w:p>
          <w:p w14:paraId="713797A1">
            <w:pPr>
              <w:spacing w:line="300" w:lineRule="exact"/>
              <w:jc w:val="center"/>
              <w:rPr>
                <w:rFonts w:ascii="宋体" w:hAnsi="宋体"/>
                <w:bCs/>
                <w:color w:val="auto"/>
                <w:sz w:val="24"/>
                <w:szCs w:val="24"/>
              </w:rPr>
            </w:pPr>
            <w:r>
              <w:rPr>
                <w:rFonts w:hint="eastAsia" w:ascii="宋体" w:hAnsi="宋体"/>
                <w:bCs/>
                <w:color w:val="auto"/>
                <w:sz w:val="24"/>
                <w:szCs w:val="24"/>
              </w:rPr>
              <w:t>标</w:t>
            </w:r>
          </w:p>
          <w:p w14:paraId="70E0A3E0">
            <w:pPr>
              <w:spacing w:line="300" w:lineRule="exact"/>
              <w:jc w:val="center"/>
              <w:rPr>
                <w:rFonts w:ascii="宋体" w:hAnsi="宋体"/>
                <w:bCs/>
                <w:color w:val="auto"/>
                <w:sz w:val="24"/>
                <w:szCs w:val="24"/>
              </w:rPr>
            </w:pPr>
          </w:p>
          <w:p w14:paraId="310F1B9F">
            <w:pPr>
              <w:spacing w:line="300" w:lineRule="exact"/>
              <w:jc w:val="center"/>
              <w:rPr>
                <w:rFonts w:ascii="宋体" w:hAnsi="宋体"/>
                <w:bCs/>
                <w:color w:val="auto"/>
                <w:sz w:val="24"/>
                <w:szCs w:val="24"/>
              </w:rPr>
            </w:pPr>
            <w:r>
              <w:rPr>
                <w:rFonts w:hint="eastAsia" w:ascii="宋体" w:hAnsi="宋体"/>
                <w:bCs/>
                <w:color w:val="auto"/>
                <w:sz w:val="24"/>
                <w:szCs w:val="24"/>
              </w:rPr>
              <w:t>单</w:t>
            </w:r>
          </w:p>
          <w:p w14:paraId="334AFB53">
            <w:pPr>
              <w:spacing w:line="300" w:lineRule="exact"/>
              <w:jc w:val="center"/>
              <w:rPr>
                <w:rFonts w:ascii="宋体" w:hAnsi="宋体"/>
                <w:bCs/>
                <w:color w:val="auto"/>
                <w:sz w:val="24"/>
                <w:szCs w:val="24"/>
              </w:rPr>
            </w:pPr>
          </w:p>
          <w:p w14:paraId="1F881F20">
            <w:pPr>
              <w:spacing w:line="300" w:lineRule="exact"/>
              <w:jc w:val="center"/>
              <w:rPr>
                <w:rFonts w:ascii="宋体" w:hAnsi="宋体"/>
                <w:bCs/>
                <w:color w:val="auto"/>
                <w:sz w:val="24"/>
                <w:szCs w:val="24"/>
              </w:rPr>
            </w:pPr>
            <w:r>
              <w:rPr>
                <w:rFonts w:hint="eastAsia" w:ascii="宋体" w:hAnsi="宋体"/>
                <w:bCs/>
                <w:color w:val="auto"/>
                <w:sz w:val="24"/>
                <w:szCs w:val="24"/>
              </w:rPr>
              <w:t>位</w:t>
            </w:r>
          </w:p>
          <w:p w14:paraId="042C0BAE">
            <w:pPr>
              <w:spacing w:line="300" w:lineRule="exact"/>
              <w:jc w:val="center"/>
              <w:rPr>
                <w:rFonts w:ascii="宋体" w:hAnsi="宋体"/>
                <w:bCs/>
                <w:color w:val="auto"/>
                <w:sz w:val="24"/>
                <w:szCs w:val="24"/>
              </w:rPr>
            </w:pPr>
          </w:p>
          <w:p w14:paraId="6D916800">
            <w:pPr>
              <w:spacing w:line="300" w:lineRule="exact"/>
              <w:jc w:val="center"/>
              <w:rPr>
                <w:rFonts w:ascii="宋体" w:hAnsi="宋体"/>
                <w:bCs/>
                <w:color w:val="auto"/>
                <w:sz w:val="24"/>
                <w:szCs w:val="24"/>
              </w:rPr>
            </w:pPr>
            <w:r>
              <w:rPr>
                <w:rFonts w:hint="eastAsia" w:ascii="宋体" w:hAnsi="宋体"/>
                <w:bCs/>
                <w:color w:val="auto"/>
                <w:sz w:val="24"/>
                <w:szCs w:val="24"/>
              </w:rPr>
              <w:t>意</w:t>
            </w:r>
          </w:p>
          <w:p w14:paraId="4AE88D73">
            <w:pPr>
              <w:spacing w:line="300" w:lineRule="exact"/>
              <w:jc w:val="center"/>
              <w:rPr>
                <w:rFonts w:ascii="宋体" w:hAnsi="宋体"/>
                <w:bCs/>
                <w:color w:val="auto"/>
                <w:sz w:val="24"/>
                <w:szCs w:val="24"/>
              </w:rPr>
            </w:pPr>
          </w:p>
          <w:p w14:paraId="1552FED7">
            <w:pPr>
              <w:spacing w:line="300" w:lineRule="exact"/>
              <w:jc w:val="center"/>
              <w:rPr>
                <w:rFonts w:ascii="宋体" w:hAnsi="宋体"/>
                <w:bCs/>
                <w:color w:val="auto"/>
                <w:sz w:val="24"/>
                <w:szCs w:val="24"/>
              </w:rPr>
            </w:pPr>
            <w:r>
              <w:rPr>
                <w:rFonts w:hint="eastAsia" w:ascii="宋体" w:hAnsi="宋体"/>
                <w:bCs/>
                <w:color w:val="auto"/>
                <w:sz w:val="24"/>
                <w:szCs w:val="24"/>
              </w:rPr>
              <w:t>见</w:t>
            </w:r>
          </w:p>
        </w:tc>
        <w:tc>
          <w:tcPr>
            <w:tcW w:w="3500" w:type="dxa"/>
            <w:tcBorders>
              <w:top w:val="single" w:color="auto" w:sz="4" w:space="0"/>
              <w:left w:val="single" w:color="auto" w:sz="4" w:space="0"/>
              <w:bottom w:val="single" w:color="auto" w:sz="4" w:space="0"/>
              <w:right w:val="single" w:color="auto" w:sz="4" w:space="0"/>
            </w:tcBorders>
          </w:tcPr>
          <w:p w14:paraId="0A499C98">
            <w:pPr>
              <w:spacing w:line="360" w:lineRule="exact"/>
              <w:rPr>
                <w:rFonts w:ascii="宋体" w:hAnsi="宋体"/>
                <w:bCs/>
                <w:color w:val="auto"/>
                <w:sz w:val="24"/>
                <w:szCs w:val="24"/>
              </w:rPr>
            </w:pPr>
          </w:p>
          <w:p w14:paraId="573A927F">
            <w:pPr>
              <w:spacing w:line="360" w:lineRule="exact"/>
              <w:rPr>
                <w:rFonts w:ascii="宋体" w:hAnsi="宋体"/>
                <w:bCs/>
                <w:color w:val="auto"/>
                <w:sz w:val="24"/>
                <w:szCs w:val="24"/>
              </w:rPr>
            </w:pPr>
            <w:r>
              <w:rPr>
                <w:rFonts w:hint="eastAsia" w:ascii="宋体" w:hAnsi="宋体"/>
                <w:bCs/>
                <w:color w:val="auto"/>
                <w:sz w:val="24"/>
                <w:szCs w:val="24"/>
              </w:rPr>
              <w:t xml:space="preserve">邀请方： </w:t>
            </w:r>
          </w:p>
          <w:p w14:paraId="3D81C747">
            <w:pPr>
              <w:spacing w:line="360" w:lineRule="exact"/>
              <w:ind w:firstLine="1120"/>
              <w:rPr>
                <w:rFonts w:ascii="宋体" w:hAnsi="宋体"/>
                <w:bCs/>
                <w:color w:val="auto"/>
                <w:sz w:val="24"/>
                <w:szCs w:val="24"/>
              </w:rPr>
            </w:pPr>
            <w:r>
              <w:rPr>
                <w:rFonts w:hint="eastAsia" w:ascii="宋体" w:hAnsi="宋体"/>
                <w:bCs/>
                <w:color w:val="auto"/>
                <w:sz w:val="24"/>
                <w:szCs w:val="24"/>
              </w:rPr>
              <w:t>（单位章）</w:t>
            </w:r>
          </w:p>
          <w:p w14:paraId="200ED4BA">
            <w:pPr>
              <w:spacing w:line="360" w:lineRule="exact"/>
              <w:rPr>
                <w:rFonts w:ascii="宋体" w:hAnsi="宋体"/>
                <w:bCs/>
                <w:color w:val="auto"/>
                <w:sz w:val="24"/>
                <w:szCs w:val="24"/>
              </w:rPr>
            </w:pPr>
          </w:p>
          <w:p w14:paraId="044B5AFA">
            <w:pPr>
              <w:spacing w:line="360" w:lineRule="exact"/>
              <w:rPr>
                <w:rFonts w:ascii="宋体" w:hAnsi="宋体"/>
                <w:bCs/>
                <w:color w:val="auto"/>
                <w:sz w:val="24"/>
                <w:szCs w:val="24"/>
              </w:rPr>
            </w:pPr>
          </w:p>
          <w:p w14:paraId="0EDCF5F2">
            <w:pPr>
              <w:spacing w:line="360" w:lineRule="exact"/>
              <w:rPr>
                <w:rFonts w:ascii="宋体" w:hAnsi="宋体"/>
                <w:bCs/>
                <w:color w:val="auto"/>
                <w:sz w:val="24"/>
                <w:szCs w:val="24"/>
              </w:rPr>
            </w:pPr>
          </w:p>
          <w:p w14:paraId="26FBD5B0">
            <w:pPr>
              <w:spacing w:line="360" w:lineRule="exact"/>
              <w:rPr>
                <w:rFonts w:ascii="宋体" w:hAnsi="宋体"/>
                <w:bCs/>
                <w:color w:val="auto"/>
                <w:sz w:val="24"/>
                <w:szCs w:val="24"/>
              </w:rPr>
            </w:pPr>
          </w:p>
          <w:p w14:paraId="35DB07A4">
            <w:pPr>
              <w:spacing w:line="360" w:lineRule="exact"/>
              <w:rPr>
                <w:rFonts w:ascii="宋体" w:hAnsi="宋体"/>
                <w:bCs/>
                <w:color w:val="auto"/>
                <w:sz w:val="24"/>
                <w:szCs w:val="24"/>
              </w:rPr>
            </w:pPr>
            <w:r>
              <w:rPr>
                <w:rFonts w:hint="eastAsia" w:ascii="宋体" w:hAnsi="宋体"/>
                <w:bCs/>
                <w:color w:val="auto"/>
                <w:sz w:val="24"/>
                <w:szCs w:val="24"/>
              </w:rPr>
              <w:t>法定代表人：</w:t>
            </w:r>
            <w:bookmarkStart w:id="30" w:name="EBa36b6b116f534d91873be3243faeef14"/>
            <w:bookmarkEnd w:id="30"/>
          </w:p>
          <w:p w14:paraId="6B4423E2">
            <w:pPr>
              <w:spacing w:line="360" w:lineRule="exact"/>
              <w:rPr>
                <w:rFonts w:ascii="宋体" w:hAnsi="宋体"/>
                <w:bCs/>
                <w:color w:val="auto"/>
                <w:sz w:val="24"/>
                <w:szCs w:val="24"/>
              </w:rPr>
            </w:pPr>
          </w:p>
          <w:p w14:paraId="3592C5F5">
            <w:pPr>
              <w:spacing w:line="360" w:lineRule="exact"/>
              <w:rPr>
                <w:rFonts w:ascii="宋体" w:hAnsi="宋体"/>
                <w:bCs/>
                <w:color w:val="auto"/>
                <w:sz w:val="24"/>
                <w:szCs w:val="24"/>
              </w:rPr>
            </w:pPr>
          </w:p>
          <w:p w14:paraId="5DF5FEA7">
            <w:pPr>
              <w:spacing w:line="360" w:lineRule="exact"/>
              <w:ind w:firstLine="1200" w:firstLineChars="500"/>
              <w:rPr>
                <w:rFonts w:ascii="宋体" w:hAnsi="宋体"/>
                <w:bCs/>
                <w:color w:val="auto"/>
                <w:sz w:val="24"/>
                <w:szCs w:val="24"/>
              </w:rPr>
            </w:pPr>
            <w:r>
              <w:rPr>
                <w:rFonts w:hint="eastAsia" w:ascii="宋体" w:hAnsi="宋体"/>
                <w:bCs/>
                <w:color w:val="auto"/>
                <w:sz w:val="24"/>
                <w:szCs w:val="28"/>
              </w:rPr>
              <w:t>2026年  月   日</w:t>
            </w:r>
            <w:bookmarkStart w:id="31" w:name="EBb13421fb6d0e40749fa11f6d4086695a"/>
            <w:bookmarkEnd w:id="31"/>
          </w:p>
        </w:tc>
        <w:tc>
          <w:tcPr>
            <w:tcW w:w="775" w:type="dxa"/>
            <w:tcBorders>
              <w:top w:val="single" w:color="auto" w:sz="4" w:space="0"/>
              <w:left w:val="single" w:color="auto" w:sz="4" w:space="0"/>
              <w:bottom w:val="single" w:color="auto" w:sz="4" w:space="0"/>
              <w:right w:val="single" w:color="auto" w:sz="4" w:space="0"/>
            </w:tcBorders>
            <w:vAlign w:val="center"/>
          </w:tcPr>
          <w:p w14:paraId="7B73E09B">
            <w:pPr>
              <w:spacing w:line="360" w:lineRule="exact"/>
              <w:jc w:val="center"/>
              <w:rPr>
                <w:rFonts w:ascii="宋体" w:hAnsi="宋体"/>
                <w:bCs/>
                <w:color w:val="auto"/>
                <w:sz w:val="24"/>
                <w:szCs w:val="24"/>
              </w:rPr>
            </w:pPr>
            <w:r>
              <w:rPr>
                <w:rFonts w:hint="eastAsia" w:ascii="宋体" w:hAnsi="宋体"/>
                <w:bCs/>
                <w:color w:val="auto"/>
                <w:sz w:val="24"/>
                <w:szCs w:val="24"/>
              </w:rPr>
              <w:t>监管机构签收意见</w:t>
            </w:r>
          </w:p>
        </w:tc>
        <w:tc>
          <w:tcPr>
            <w:tcW w:w="4017" w:type="dxa"/>
            <w:tcBorders>
              <w:top w:val="single" w:color="auto" w:sz="4" w:space="0"/>
              <w:left w:val="single" w:color="auto" w:sz="4" w:space="0"/>
              <w:bottom w:val="single" w:color="auto" w:sz="4" w:space="0"/>
              <w:right w:val="single" w:color="auto" w:sz="4" w:space="0"/>
            </w:tcBorders>
          </w:tcPr>
          <w:p w14:paraId="063BD329">
            <w:pPr>
              <w:spacing w:line="360" w:lineRule="exact"/>
              <w:rPr>
                <w:rFonts w:ascii="宋体" w:hAnsi="宋体"/>
                <w:bCs/>
                <w:color w:val="auto"/>
                <w:sz w:val="24"/>
                <w:szCs w:val="24"/>
              </w:rPr>
            </w:pPr>
          </w:p>
          <w:p w14:paraId="2E288D97">
            <w:pPr>
              <w:spacing w:line="360" w:lineRule="exact"/>
              <w:ind w:left="2240" w:hanging="2240"/>
              <w:rPr>
                <w:rFonts w:ascii="宋体" w:hAnsi="宋体"/>
                <w:bCs/>
                <w:color w:val="auto"/>
                <w:sz w:val="24"/>
                <w:szCs w:val="24"/>
              </w:rPr>
            </w:pPr>
            <w:r>
              <w:rPr>
                <w:rFonts w:hint="eastAsia" w:ascii="宋体" w:hAnsi="宋体"/>
                <w:bCs/>
                <w:color w:val="auto"/>
                <w:sz w:val="24"/>
                <w:szCs w:val="24"/>
              </w:rPr>
              <w:t>监管机构：</w:t>
            </w:r>
            <w:bookmarkStart w:id="32" w:name="EB6edb7a9b491345ecbf587fd0cb3cdc20"/>
            <w:bookmarkEnd w:id="32"/>
          </w:p>
          <w:p w14:paraId="3C41570D">
            <w:pPr>
              <w:spacing w:line="360" w:lineRule="exact"/>
              <w:ind w:left="1470" w:firstLine="800"/>
              <w:rPr>
                <w:rFonts w:ascii="宋体" w:hAnsi="宋体"/>
                <w:bCs/>
                <w:color w:val="auto"/>
                <w:sz w:val="24"/>
                <w:szCs w:val="24"/>
              </w:rPr>
            </w:pPr>
            <w:r>
              <w:rPr>
                <w:rFonts w:hint="eastAsia" w:ascii="宋体" w:hAnsi="宋体"/>
                <w:bCs/>
                <w:color w:val="auto"/>
                <w:sz w:val="24"/>
                <w:szCs w:val="24"/>
              </w:rPr>
              <w:t>（单位章）</w:t>
            </w:r>
          </w:p>
          <w:p w14:paraId="51718024">
            <w:pPr>
              <w:spacing w:line="360" w:lineRule="exact"/>
              <w:rPr>
                <w:rFonts w:ascii="宋体" w:hAnsi="宋体"/>
                <w:bCs/>
                <w:color w:val="auto"/>
                <w:sz w:val="24"/>
                <w:szCs w:val="24"/>
              </w:rPr>
            </w:pPr>
          </w:p>
          <w:p w14:paraId="296C9B07">
            <w:pPr>
              <w:spacing w:line="360" w:lineRule="exact"/>
              <w:rPr>
                <w:rFonts w:ascii="宋体" w:hAnsi="宋体"/>
                <w:bCs/>
                <w:color w:val="auto"/>
                <w:sz w:val="24"/>
                <w:szCs w:val="24"/>
              </w:rPr>
            </w:pPr>
          </w:p>
          <w:p w14:paraId="4EF39E3A">
            <w:pPr>
              <w:spacing w:line="360" w:lineRule="exact"/>
              <w:rPr>
                <w:rFonts w:ascii="宋体" w:hAnsi="宋体"/>
                <w:bCs/>
                <w:color w:val="auto"/>
                <w:sz w:val="24"/>
                <w:szCs w:val="24"/>
              </w:rPr>
            </w:pPr>
          </w:p>
          <w:p w14:paraId="0A846B4B">
            <w:pPr>
              <w:spacing w:line="360" w:lineRule="exact"/>
              <w:rPr>
                <w:rFonts w:ascii="宋体" w:hAnsi="宋体"/>
                <w:bCs/>
                <w:color w:val="auto"/>
                <w:sz w:val="24"/>
                <w:szCs w:val="24"/>
              </w:rPr>
            </w:pPr>
          </w:p>
          <w:p w14:paraId="4F5DB693">
            <w:pPr>
              <w:spacing w:line="360" w:lineRule="exact"/>
              <w:rPr>
                <w:rFonts w:ascii="宋体" w:hAnsi="宋体"/>
                <w:bCs/>
                <w:color w:val="auto"/>
                <w:sz w:val="24"/>
                <w:szCs w:val="24"/>
              </w:rPr>
            </w:pPr>
            <w:r>
              <w:rPr>
                <w:rFonts w:hint="eastAsia" w:ascii="宋体" w:hAnsi="宋体"/>
                <w:bCs/>
                <w:color w:val="auto"/>
                <w:sz w:val="24"/>
                <w:szCs w:val="24"/>
              </w:rPr>
              <w:t>签收人：</w:t>
            </w:r>
            <w:bookmarkStart w:id="33" w:name="EB96f8d71170c6457b879768bfdfb73164"/>
            <w:bookmarkEnd w:id="33"/>
          </w:p>
          <w:p w14:paraId="76C6C74B">
            <w:pPr>
              <w:spacing w:line="360" w:lineRule="exact"/>
              <w:rPr>
                <w:rFonts w:ascii="宋体" w:hAnsi="宋体"/>
                <w:bCs/>
                <w:color w:val="auto"/>
                <w:sz w:val="24"/>
                <w:szCs w:val="24"/>
              </w:rPr>
            </w:pPr>
          </w:p>
          <w:p w14:paraId="719DC488">
            <w:pPr>
              <w:spacing w:line="360" w:lineRule="exact"/>
              <w:rPr>
                <w:rFonts w:ascii="宋体" w:hAnsi="宋体"/>
                <w:bCs/>
                <w:color w:val="auto"/>
                <w:sz w:val="24"/>
                <w:szCs w:val="24"/>
              </w:rPr>
            </w:pPr>
          </w:p>
          <w:p w14:paraId="59931979">
            <w:pPr>
              <w:spacing w:line="360" w:lineRule="exact"/>
              <w:ind w:firstLine="1800" w:firstLineChars="750"/>
              <w:rPr>
                <w:rFonts w:ascii="宋体" w:hAnsi="宋体"/>
                <w:bCs/>
                <w:color w:val="auto"/>
                <w:sz w:val="24"/>
                <w:szCs w:val="24"/>
              </w:rPr>
            </w:pPr>
            <w:r>
              <w:rPr>
                <w:rFonts w:hint="eastAsia" w:ascii="宋体" w:hAnsi="宋体"/>
                <w:bCs/>
                <w:color w:val="auto"/>
                <w:sz w:val="24"/>
                <w:szCs w:val="28"/>
              </w:rPr>
              <w:t>2026年  月  日</w:t>
            </w:r>
            <w:bookmarkStart w:id="34" w:name="EB710107c202164359a55fd72c73bd96a4"/>
            <w:bookmarkEnd w:id="34"/>
          </w:p>
        </w:tc>
      </w:tr>
    </w:tbl>
    <w:p w14:paraId="107D52A2">
      <w:pPr>
        <w:pStyle w:val="36"/>
        <w:ind w:firstLine="0" w:firstLineChars="0"/>
        <w:rPr>
          <w:color w:val="auto"/>
        </w:rPr>
      </w:pPr>
    </w:p>
    <w:p w14:paraId="7EE7C831">
      <w:pPr>
        <w:pStyle w:val="36"/>
        <w:ind w:firstLine="0" w:firstLineChars="0"/>
        <w:rPr>
          <w:color w:val="auto"/>
        </w:rPr>
      </w:pPr>
      <w:r>
        <w:rPr>
          <w:color w:val="auto"/>
        </w:rPr>
        <w:br w:type="page"/>
      </w:r>
      <w:r>
        <w:rPr>
          <w:rFonts w:hint="eastAsia"/>
          <w:color w:val="auto"/>
        </w:rPr>
        <w:t>附件1</w:t>
      </w:r>
    </w:p>
    <w:p w14:paraId="412308B9">
      <w:pPr>
        <w:widowControl/>
        <w:tabs>
          <w:tab w:val="left" w:pos="851"/>
        </w:tabs>
        <w:spacing w:before="960" w:after="480" w:afterLines="200" w:line="360" w:lineRule="auto"/>
        <w:jc w:val="center"/>
        <w:rPr>
          <w:rFonts w:ascii="宋体" w:hAnsi="宋体" w:cs="仿宋"/>
          <w:b/>
          <w:bCs/>
          <w:color w:val="auto"/>
          <w:kern w:val="0"/>
          <w:sz w:val="52"/>
          <w:szCs w:val="44"/>
        </w:rPr>
      </w:pPr>
      <w:r>
        <w:rPr>
          <w:rFonts w:hint="eastAsia" w:ascii="宋体" w:hAnsi="宋体"/>
          <w:b/>
          <w:color w:val="auto"/>
          <w:sz w:val="36"/>
          <w:szCs w:val="20"/>
        </w:rPr>
        <w:t>承诺函</w:t>
      </w:r>
    </w:p>
    <w:p w14:paraId="7C9C1DF1">
      <w:pPr>
        <w:widowControl/>
        <w:tabs>
          <w:tab w:val="left" w:pos="851"/>
        </w:tabs>
        <w:spacing w:line="360" w:lineRule="auto"/>
        <w:rPr>
          <w:rFonts w:ascii="仿宋" w:hAnsi="仿宋" w:eastAsia="仿宋" w:cs="仿宋"/>
          <w:color w:val="auto"/>
          <w:kern w:val="0"/>
          <w:sz w:val="28"/>
        </w:rPr>
      </w:pPr>
      <w:r>
        <w:rPr>
          <w:rFonts w:hint="eastAsia" w:ascii="仿宋" w:hAnsi="仿宋" w:eastAsia="仿宋" w:cs="仿宋"/>
          <w:color w:val="auto"/>
          <w:kern w:val="0"/>
          <w:sz w:val="28"/>
        </w:rPr>
        <w:t>我承诺：</w:t>
      </w:r>
    </w:p>
    <w:p w14:paraId="5566F3E2">
      <w:pPr>
        <w:widowControl/>
        <w:tabs>
          <w:tab w:val="left" w:pos="851"/>
        </w:tabs>
        <w:spacing w:line="360" w:lineRule="auto"/>
        <w:ind w:firstLine="560"/>
        <w:rPr>
          <w:rFonts w:ascii="仿宋" w:hAnsi="仿宋" w:eastAsia="仿宋" w:cs="仿宋"/>
          <w:color w:val="auto"/>
          <w:kern w:val="0"/>
          <w:sz w:val="32"/>
          <w:szCs w:val="28"/>
        </w:rPr>
      </w:pPr>
      <w:r>
        <w:rPr>
          <w:rFonts w:hint="eastAsia" w:ascii="仿宋" w:hAnsi="仿宋" w:eastAsia="仿宋" w:cs="仿宋"/>
          <w:color w:val="auto"/>
          <w:kern w:val="0"/>
          <w:sz w:val="28"/>
        </w:rPr>
        <w:t>我公司近三年内，在经营活动中没有人员上访不良记录、没有重大违法记录及没有较大质量安全事故，若查实我公司近三年内在经营活动中有上述事项，我公司将无条件地退出本次入库资格，并承担因此引起的一切后果。</w:t>
      </w:r>
    </w:p>
    <w:p w14:paraId="46C36484">
      <w:pPr>
        <w:widowControl/>
        <w:tabs>
          <w:tab w:val="left" w:pos="851"/>
        </w:tabs>
        <w:spacing w:line="360" w:lineRule="auto"/>
        <w:jc w:val="right"/>
        <w:rPr>
          <w:rFonts w:ascii="仿宋" w:hAnsi="仿宋" w:eastAsia="仿宋" w:cs="仿宋"/>
          <w:color w:val="auto"/>
          <w:kern w:val="0"/>
          <w:sz w:val="28"/>
        </w:rPr>
      </w:pPr>
    </w:p>
    <w:p w14:paraId="73657CE3">
      <w:pPr>
        <w:widowControl/>
        <w:tabs>
          <w:tab w:val="left" w:pos="851"/>
        </w:tabs>
        <w:spacing w:line="360" w:lineRule="auto"/>
        <w:jc w:val="right"/>
        <w:rPr>
          <w:rFonts w:ascii="仿宋" w:hAnsi="仿宋" w:eastAsia="仿宋" w:cs="仿宋"/>
          <w:color w:val="auto"/>
          <w:kern w:val="0"/>
          <w:sz w:val="28"/>
        </w:rPr>
      </w:pPr>
    </w:p>
    <w:p w14:paraId="6DFA99BE">
      <w:pPr>
        <w:widowControl/>
        <w:tabs>
          <w:tab w:val="left" w:pos="851"/>
        </w:tabs>
        <w:spacing w:line="360" w:lineRule="auto"/>
        <w:ind w:right="1120" w:firstLine="1680" w:firstLineChars="600"/>
        <w:rPr>
          <w:rFonts w:ascii="仿宋" w:hAnsi="仿宋" w:eastAsia="仿宋" w:cs="仿宋"/>
          <w:color w:val="auto"/>
          <w:kern w:val="0"/>
          <w:sz w:val="28"/>
        </w:rPr>
      </w:pPr>
      <w:r>
        <w:rPr>
          <w:rFonts w:hint="eastAsia" w:ascii="仿宋" w:hAnsi="仿宋" w:eastAsia="仿宋" w:cs="仿宋"/>
          <w:color w:val="auto"/>
          <w:kern w:val="0"/>
          <w:sz w:val="28"/>
        </w:rPr>
        <w:tab/>
      </w:r>
      <w:r>
        <w:rPr>
          <w:rFonts w:hint="eastAsia" w:ascii="仿宋" w:hAnsi="仿宋" w:eastAsia="仿宋" w:cs="仿宋"/>
          <w:color w:val="auto"/>
          <w:kern w:val="0"/>
          <w:sz w:val="28"/>
        </w:rPr>
        <w:tab/>
      </w:r>
      <w:r>
        <w:rPr>
          <w:rFonts w:hint="eastAsia" w:ascii="仿宋" w:hAnsi="仿宋" w:eastAsia="仿宋" w:cs="仿宋"/>
          <w:color w:val="auto"/>
          <w:kern w:val="0"/>
          <w:sz w:val="28"/>
        </w:rPr>
        <w:tab/>
      </w:r>
      <w:r>
        <w:rPr>
          <w:rFonts w:hint="eastAsia" w:ascii="仿宋" w:hAnsi="仿宋" w:eastAsia="仿宋" w:cs="仿宋"/>
          <w:color w:val="auto"/>
          <w:kern w:val="0"/>
          <w:sz w:val="28"/>
        </w:rPr>
        <w:tab/>
      </w:r>
      <w:r>
        <w:rPr>
          <w:rFonts w:hint="eastAsia" w:ascii="仿宋" w:hAnsi="仿宋" w:eastAsia="仿宋" w:cs="仿宋"/>
          <w:color w:val="auto"/>
          <w:kern w:val="0"/>
          <w:sz w:val="28"/>
        </w:rPr>
        <w:tab/>
      </w:r>
      <w:r>
        <w:rPr>
          <w:rFonts w:hint="eastAsia" w:ascii="仿宋" w:hAnsi="仿宋" w:eastAsia="仿宋" w:cs="仿宋"/>
          <w:color w:val="auto"/>
          <w:kern w:val="0"/>
          <w:sz w:val="28"/>
        </w:rPr>
        <w:tab/>
      </w:r>
      <w:r>
        <w:rPr>
          <w:rFonts w:hint="eastAsia" w:ascii="仿宋" w:hAnsi="仿宋" w:eastAsia="仿宋" w:cs="仿宋"/>
          <w:color w:val="auto"/>
          <w:kern w:val="0"/>
          <w:sz w:val="28"/>
        </w:rPr>
        <w:tab/>
      </w:r>
      <w:r>
        <w:rPr>
          <w:rFonts w:hint="eastAsia" w:ascii="仿宋" w:hAnsi="仿宋" w:eastAsia="仿宋" w:cs="仿宋"/>
          <w:color w:val="auto"/>
          <w:kern w:val="0"/>
          <w:sz w:val="28"/>
        </w:rPr>
        <w:tab/>
      </w:r>
      <w:r>
        <w:rPr>
          <w:rFonts w:hint="eastAsia" w:ascii="仿宋" w:hAnsi="仿宋" w:eastAsia="仿宋" w:cs="仿宋"/>
          <w:color w:val="auto"/>
          <w:kern w:val="0"/>
          <w:sz w:val="28"/>
        </w:rPr>
        <w:tab/>
      </w:r>
      <w:r>
        <w:rPr>
          <w:rFonts w:hint="eastAsia" w:ascii="仿宋" w:hAnsi="仿宋" w:eastAsia="仿宋" w:cs="仿宋"/>
          <w:color w:val="auto"/>
          <w:kern w:val="0"/>
          <w:sz w:val="28"/>
        </w:rPr>
        <w:tab/>
      </w:r>
      <w:r>
        <w:rPr>
          <w:rFonts w:hint="eastAsia" w:ascii="仿宋" w:hAnsi="仿宋" w:eastAsia="仿宋" w:cs="仿宋"/>
          <w:color w:val="auto"/>
          <w:kern w:val="0"/>
          <w:sz w:val="28"/>
        </w:rPr>
        <w:t xml:space="preserve">承诺人：    </w:t>
      </w:r>
      <w:r>
        <w:rPr>
          <w:rFonts w:hint="eastAsia" w:ascii="仿宋" w:hAnsi="仿宋" w:eastAsia="仿宋" w:cs="仿宋"/>
          <w:color w:val="auto"/>
          <w:kern w:val="0"/>
          <w:sz w:val="28"/>
          <w:u w:val="single"/>
        </w:rPr>
        <w:t xml:space="preserve"> </w:t>
      </w:r>
      <w:r>
        <w:rPr>
          <w:rFonts w:ascii="仿宋" w:hAnsi="仿宋" w:eastAsia="仿宋" w:cs="仿宋"/>
          <w:color w:val="auto"/>
          <w:kern w:val="0"/>
          <w:sz w:val="28"/>
          <w:u w:val="single"/>
        </w:rPr>
        <w:t xml:space="preserve">  </w:t>
      </w:r>
      <w:r>
        <w:rPr>
          <w:rFonts w:hint="eastAsia" w:ascii="仿宋" w:hAnsi="仿宋" w:eastAsia="仿宋" w:cs="仿宋"/>
          <w:color w:val="auto"/>
          <w:kern w:val="0"/>
          <w:sz w:val="28"/>
          <w:u w:val="single"/>
        </w:rPr>
        <w:t xml:space="preserve">      </w:t>
      </w:r>
    </w:p>
    <w:p w14:paraId="5B4E450D">
      <w:pPr>
        <w:widowControl/>
        <w:tabs>
          <w:tab w:val="left" w:pos="851"/>
        </w:tabs>
        <w:spacing w:line="360" w:lineRule="auto"/>
        <w:ind w:firstLine="560"/>
        <w:rPr>
          <w:rFonts w:ascii="仿宋" w:hAnsi="仿宋" w:eastAsia="仿宋" w:cs="仿宋"/>
          <w:color w:val="auto"/>
          <w:kern w:val="0"/>
          <w:sz w:val="28"/>
        </w:rPr>
      </w:pPr>
      <w:r>
        <w:rPr>
          <w:rFonts w:hint="eastAsia" w:ascii="仿宋" w:hAnsi="仿宋" w:eastAsia="仿宋" w:cs="仿宋"/>
          <w:color w:val="auto"/>
          <w:kern w:val="0"/>
          <w:sz w:val="28"/>
        </w:rPr>
        <w:t xml:space="preserve">                                              </w:t>
      </w:r>
    </w:p>
    <w:p w14:paraId="2AE91D4E">
      <w:pPr>
        <w:widowControl/>
        <w:tabs>
          <w:tab w:val="left" w:pos="851"/>
        </w:tabs>
        <w:spacing w:line="360" w:lineRule="auto"/>
        <w:ind w:left="4564" w:leftChars="399" w:hanging="3726" w:hangingChars="1331"/>
        <w:jc w:val="right"/>
        <w:rPr>
          <w:rFonts w:ascii="仿宋" w:hAnsi="仿宋" w:eastAsia="仿宋" w:cs="仿宋"/>
          <w:color w:val="auto"/>
          <w:kern w:val="0"/>
          <w:sz w:val="28"/>
        </w:rPr>
      </w:pPr>
      <w:r>
        <w:rPr>
          <w:rFonts w:hint="eastAsia" w:ascii="仿宋" w:hAnsi="仿宋" w:eastAsia="仿宋" w:cs="仿宋"/>
          <w:color w:val="auto"/>
          <w:kern w:val="0"/>
          <w:sz w:val="28"/>
        </w:rPr>
        <w:t xml:space="preserve">       日期：</w:t>
      </w:r>
      <w:r>
        <w:rPr>
          <w:rFonts w:hint="eastAsia" w:ascii="仿宋" w:hAnsi="仿宋" w:eastAsia="仿宋" w:cs="仿宋"/>
          <w:color w:val="auto"/>
          <w:kern w:val="0"/>
          <w:sz w:val="28"/>
          <w:u w:val="single"/>
        </w:rPr>
        <w:t xml:space="preserve">   </w:t>
      </w:r>
      <w:r>
        <w:rPr>
          <w:rFonts w:ascii="仿宋" w:hAnsi="仿宋" w:eastAsia="仿宋" w:cs="仿宋"/>
          <w:color w:val="auto"/>
          <w:kern w:val="0"/>
          <w:sz w:val="28"/>
          <w:u w:val="single"/>
        </w:rPr>
        <w:t xml:space="preserve"> </w:t>
      </w:r>
      <w:r>
        <w:rPr>
          <w:rFonts w:hint="eastAsia" w:ascii="仿宋" w:hAnsi="仿宋" w:eastAsia="仿宋" w:cs="仿宋"/>
          <w:color w:val="auto"/>
          <w:kern w:val="0"/>
          <w:sz w:val="28"/>
          <w:u w:val="single"/>
        </w:rPr>
        <w:t xml:space="preserve"> </w:t>
      </w:r>
      <w:r>
        <w:rPr>
          <w:rFonts w:hint="eastAsia" w:ascii="仿宋" w:hAnsi="仿宋" w:eastAsia="仿宋" w:cs="仿宋"/>
          <w:color w:val="auto"/>
          <w:kern w:val="0"/>
          <w:sz w:val="28"/>
        </w:rPr>
        <w:t>年</w:t>
      </w:r>
      <w:r>
        <w:rPr>
          <w:rFonts w:hint="eastAsia" w:ascii="仿宋" w:hAnsi="仿宋" w:eastAsia="仿宋" w:cs="仿宋"/>
          <w:color w:val="auto"/>
          <w:kern w:val="0"/>
          <w:sz w:val="28"/>
          <w:u w:val="single"/>
        </w:rPr>
        <w:t xml:space="preserve"> </w:t>
      </w:r>
      <w:r>
        <w:rPr>
          <w:rFonts w:ascii="仿宋" w:hAnsi="仿宋" w:eastAsia="仿宋" w:cs="仿宋"/>
          <w:color w:val="auto"/>
          <w:kern w:val="0"/>
          <w:sz w:val="28"/>
          <w:u w:val="single"/>
        </w:rPr>
        <w:t xml:space="preserve"> </w:t>
      </w:r>
      <w:r>
        <w:rPr>
          <w:rFonts w:hint="eastAsia" w:ascii="仿宋" w:hAnsi="仿宋" w:eastAsia="仿宋" w:cs="仿宋"/>
          <w:color w:val="auto"/>
          <w:kern w:val="0"/>
          <w:sz w:val="28"/>
          <w:u w:val="single"/>
        </w:rPr>
        <w:t xml:space="preserve">   </w:t>
      </w:r>
      <w:r>
        <w:rPr>
          <w:rFonts w:hint="eastAsia" w:ascii="仿宋" w:hAnsi="仿宋" w:eastAsia="仿宋" w:cs="仿宋"/>
          <w:color w:val="auto"/>
          <w:kern w:val="0"/>
          <w:sz w:val="28"/>
        </w:rPr>
        <w:t>月</w:t>
      </w:r>
      <w:r>
        <w:rPr>
          <w:rFonts w:hint="eastAsia" w:ascii="仿宋" w:hAnsi="仿宋" w:eastAsia="仿宋" w:cs="仿宋"/>
          <w:color w:val="auto"/>
          <w:kern w:val="0"/>
          <w:sz w:val="28"/>
          <w:u w:val="single"/>
        </w:rPr>
        <w:t xml:space="preserve"> </w:t>
      </w:r>
      <w:r>
        <w:rPr>
          <w:rFonts w:ascii="仿宋" w:hAnsi="仿宋" w:eastAsia="仿宋" w:cs="仿宋"/>
          <w:color w:val="auto"/>
          <w:kern w:val="0"/>
          <w:sz w:val="28"/>
          <w:u w:val="single"/>
        </w:rPr>
        <w:t xml:space="preserve"> </w:t>
      </w:r>
      <w:r>
        <w:rPr>
          <w:rFonts w:hint="eastAsia" w:ascii="仿宋" w:hAnsi="仿宋" w:eastAsia="仿宋" w:cs="仿宋"/>
          <w:color w:val="auto"/>
          <w:kern w:val="0"/>
          <w:sz w:val="28"/>
          <w:u w:val="single"/>
        </w:rPr>
        <w:t xml:space="preserve">   </w:t>
      </w:r>
      <w:r>
        <w:rPr>
          <w:rFonts w:hint="eastAsia" w:ascii="仿宋" w:hAnsi="仿宋" w:eastAsia="仿宋" w:cs="仿宋"/>
          <w:color w:val="auto"/>
          <w:kern w:val="0"/>
          <w:sz w:val="28"/>
        </w:rPr>
        <w:t>日</w:t>
      </w:r>
    </w:p>
    <w:p w14:paraId="1427411A">
      <w:pPr>
        <w:widowControl/>
        <w:tabs>
          <w:tab w:val="left" w:pos="851"/>
        </w:tabs>
        <w:spacing w:line="360" w:lineRule="auto"/>
        <w:ind w:left="4564" w:leftChars="399" w:hanging="3726" w:hangingChars="1331"/>
        <w:jc w:val="right"/>
        <w:rPr>
          <w:rFonts w:ascii="仿宋" w:hAnsi="仿宋" w:eastAsia="仿宋" w:cs="仿宋"/>
          <w:color w:val="auto"/>
          <w:kern w:val="0"/>
          <w:sz w:val="28"/>
        </w:rPr>
      </w:pPr>
    </w:p>
    <w:p w14:paraId="4BDD6162">
      <w:pPr>
        <w:widowControl/>
        <w:tabs>
          <w:tab w:val="left" w:pos="851"/>
        </w:tabs>
        <w:spacing w:before="960" w:after="480" w:afterLines="200" w:line="360" w:lineRule="auto"/>
        <w:jc w:val="center"/>
        <w:rPr>
          <w:rFonts w:ascii="宋体" w:hAnsi="宋体"/>
          <w:b/>
          <w:color w:val="auto"/>
          <w:sz w:val="36"/>
          <w:szCs w:val="20"/>
        </w:rPr>
      </w:pPr>
    </w:p>
    <w:p w14:paraId="3A1D5B5C">
      <w:pPr>
        <w:widowControl/>
        <w:tabs>
          <w:tab w:val="left" w:pos="851"/>
        </w:tabs>
        <w:spacing w:before="960" w:after="480" w:afterLines="200" w:line="360" w:lineRule="auto"/>
        <w:jc w:val="center"/>
        <w:rPr>
          <w:rFonts w:ascii="宋体" w:hAnsi="宋体"/>
          <w:b/>
          <w:color w:val="auto"/>
          <w:sz w:val="36"/>
          <w:szCs w:val="20"/>
        </w:rPr>
      </w:pPr>
    </w:p>
    <w:p w14:paraId="4D90946C">
      <w:pPr>
        <w:widowControl/>
        <w:tabs>
          <w:tab w:val="left" w:pos="851"/>
        </w:tabs>
        <w:spacing w:before="960" w:after="480" w:afterLines="200" w:line="360" w:lineRule="auto"/>
        <w:jc w:val="center"/>
        <w:rPr>
          <w:rFonts w:ascii="宋体" w:hAnsi="宋体"/>
          <w:b/>
          <w:color w:val="auto"/>
          <w:sz w:val="36"/>
          <w:szCs w:val="20"/>
        </w:rPr>
      </w:pPr>
    </w:p>
    <w:p w14:paraId="325EFF48">
      <w:pPr>
        <w:pStyle w:val="37"/>
        <w:ind w:left="0" w:leftChars="0"/>
        <w:rPr>
          <w:color w:val="auto"/>
        </w:rPr>
      </w:pPr>
    </w:p>
    <w:sectPr>
      <w:footerReference r:id="rId3" w:type="default"/>
      <w:pgSz w:w="11906" w:h="16838"/>
      <w:pgMar w:top="1440" w:right="1080" w:bottom="1440" w:left="1080"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7F" w:usb3="00000000" w:csb0="203F01FF" w:csb1="DFFF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1F993">
    <w:pPr>
      <w:pStyle w:val="21"/>
    </w:pPr>
    <w:r>
      <w:fldChar w:fldCharType="begin"/>
    </w:r>
    <w:r>
      <w:instrText xml:space="preserve"> PAGE   \* MERGEFORMAT </w:instrText>
    </w:r>
    <w:r>
      <w:fldChar w:fldCharType="separate"/>
    </w:r>
    <w:r>
      <w:rPr>
        <w:lang w:val="zh-CN"/>
      </w:rPr>
      <w:t>7</w:t>
    </w:r>
    <w:r>
      <w:fldChar w:fldCharType="end"/>
    </w:r>
  </w:p>
  <w:p w14:paraId="153010C6">
    <w:pPr>
      <w:pStyle w:val="21"/>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14ECD2"/>
    <w:multiLevelType w:val="singleLevel"/>
    <w:tmpl w:val="BF14ECD2"/>
    <w:lvl w:ilvl="0" w:tentative="0">
      <w:start w:val="1"/>
      <w:numFmt w:val="decimal"/>
      <w:suff w:val="nothing"/>
      <w:lvlText w:val="%1、"/>
      <w:lvlJc w:val="left"/>
    </w:lvl>
  </w:abstractNum>
  <w:abstractNum w:abstractNumId="1">
    <w:nsid w:val="D31A39C0"/>
    <w:multiLevelType w:val="singleLevel"/>
    <w:tmpl w:val="D31A39C0"/>
    <w:lvl w:ilvl="0" w:tentative="0">
      <w:start w:val="8"/>
      <w:numFmt w:val="decimal"/>
      <w:suff w:val="nothing"/>
      <w:lvlText w:val="%1、"/>
      <w:lvlJc w:val="left"/>
      <w:rPr>
        <w:b/>
      </w:rPr>
    </w:lvl>
  </w:abstractNum>
  <w:abstractNum w:abstractNumId="2">
    <w:nsid w:val="31618DB2"/>
    <w:multiLevelType w:val="singleLevel"/>
    <w:tmpl w:val="31618DB2"/>
    <w:lvl w:ilvl="0" w:tentative="0">
      <w:start w:val="5"/>
      <w:numFmt w:val="chineseCounting"/>
      <w:suff w:val="nothing"/>
      <w:lvlText w:val="%1、"/>
      <w:lvlJc w:val="left"/>
      <w:rPr>
        <w:rFonts w:hint="eastAsia"/>
      </w:rPr>
    </w:lvl>
  </w:abstractNum>
  <w:abstractNum w:abstractNumId="3">
    <w:nsid w:val="46336019"/>
    <w:multiLevelType w:val="singleLevel"/>
    <w:tmpl w:val="46336019"/>
    <w:lvl w:ilvl="0" w:tentative="0">
      <w:start w:val="1"/>
      <w:numFmt w:val="decimal"/>
      <w:lvlText w:val="%1)"/>
      <w:lvlJc w:val="left"/>
      <w:pPr>
        <w:ind w:left="440" w:hanging="440"/>
      </w:pPr>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MjcwMmQxNDIxY2M1NTIxZjNlZjIzYWM1MGI5MTkifQ=="/>
  </w:docVars>
  <w:rsids>
    <w:rsidRoot w:val="006910C0"/>
    <w:rsid w:val="00001E15"/>
    <w:rsid w:val="00003AEF"/>
    <w:rsid w:val="00015477"/>
    <w:rsid w:val="00016428"/>
    <w:rsid w:val="000223B5"/>
    <w:rsid w:val="00024A1F"/>
    <w:rsid w:val="0003271E"/>
    <w:rsid w:val="00035CD8"/>
    <w:rsid w:val="0004079B"/>
    <w:rsid w:val="0004708D"/>
    <w:rsid w:val="00050B0D"/>
    <w:rsid w:val="00051456"/>
    <w:rsid w:val="00052DBA"/>
    <w:rsid w:val="00053B66"/>
    <w:rsid w:val="00067061"/>
    <w:rsid w:val="000709C5"/>
    <w:rsid w:val="000716E8"/>
    <w:rsid w:val="00071A4E"/>
    <w:rsid w:val="00085116"/>
    <w:rsid w:val="00096358"/>
    <w:rsid w:val="00097FAB"/>
    <w:rsid w:val="000A0C04"/>
    <w:rsid w:val="000A1FB2"/>
    <w:rsid w:val="000A256F"/>
    <w:rsid w:val="000B0473"/>
    <w:rsid w:val="000B55C3"/>
    <w:rsid w:val="000C4B79"/>
    <w:rsid w:val="000D15A1"/>
    <w:rsid w:val="000D37C4"/>
    <w:rsid w:val="000D4656"/>
    <w:rsid w:val="000D5357"/>
    <w:rsid w:val="000D5ED0"/>
    <w:rsid w:val="000E31BA"/>
    <w:rsid w:val="000E7FC4"/>
    <w:rsid w:val="00101DDF"/>
    <w:rsid w:val="00104822"/>
    <w:rsid w:val="00120CFD"/>
    <w:rsid w:val="00121488"/>
    <w:rsid w:val="001238FD"/>
    <w:rsid w:val="001253D2"/>
    <w:rsid w:val="00131620"/>
    <w:rsid w:val="001357D3"/>
    <w:rsid w:val="0014351D"/>
    <w:rsid w:val="00143C7A"/>
    <w:rsid w:val="00151151"/>
    <w:rsid w:val="00153001"/>
    <w:rsid w:val="00167882"/>
    <w:rsid w:val="00174DFB"/>
    <w:rsid w:val="0017697C"/>
    <w:rsid w:val="0018084C"/>
    <w:rsid w:val="00185B7D"/>
    <w:rsid w:val="00187184"/>
    <w:rsid w:val="00190F60"/>
    <w:rsid w:val="001943B5"/>
    <w:rsid w:val="001A058F"/>
    <w:rsid w:val="001A0823"/>
    <w:rsid w:val="001A45B7"/>
    <w:rsid w:val="001A4FA7"/>
    <w:rsid w:val="001A67A6"/>
    <w:rsid w:val="001B7FF9"/>
    <w:rsid w:val="001C1A8D"/>
    <w:rsid w:val="001C239E"/>
    <w:rsid w:val="001C28C1"/>
    <w:rsid w:val="001C7D33"/>
    <w:rsid w:val="001D3DA7"/>
    <w:rsid w:val="001D4D1A"/>
    <w:rsid w:val="001E7255"/>
    <w:rsid w:val="001F16F6"/>
    <w:rsid w:val="001F3798"/>
    <w:rsid w:val="001F4B52"/>
    <w:rsid w:val="00201A93"/>
    <w:rsid w:val="00201ACA"/>
    <w:rsid w:val="0020326A"/>
    <w:rsid w:val="002037AE"/>
    <w:rsid w:val="00216ABC"/>
    <w:rsid w:val="002278E7"/>
    <w:rsid w:val="0024553A"/>
    <w:rsid w:val="002461FC"/>
    <w:rsid w:val="00247FBD"/>
    <w:rsid w:val="002649C7"/>
    <w:rsid w:val="0027085C"/>
    <w:rsid w:val="002712A0"/>
    <w:rsid w:val="002721F8"/>
    <w:rsid w:val="00272752"/>
    <w:rsid w:val="00284CB7"/>
    <w:rsid w:val="0029313C"/>
    <w:rsid w:val="002935F9"/>
    <w:rsid w:val="002B3456"/>
    <w:rsid w:val="002B4083"/>
    <w:rsid w:val="002B4461"/>
    <w:rsid w:val="002B59A7"/>
    <w:rsid w:val="002B72AE"/>
    <w:rsid w:val="002C3B6E"/>
    <w:rsid w:val="002C546A"/>
    <w:rsid w:val="002C7F17"/>
    <w:rsid w:val="002D7141"/>
    <w:rsid w:val="002D75AF"/>
    <w:rsid w:val="002D7DB0"/>
    <w:rsid w:val="002E47F3"/>
    <w:rsid w:val="002E4DD4"/>
    <w:rsid w:val="003043B5"/>
    <w:rsid w:val="0030759B"/>
    <w:rsid w:val="00310E04"/>
    <w:rsid w:val="00312D6D"/>
    <w:rsid w:val="00315B57"/>
    <w:rsid w:val="003218CC"/>
    <w:rsid w:val="0032660B"/>
    <w:rsid w:val="00332699"/>
    <w:rsid w:val="00336A6E"/>
    <w:rsid w:val="00336BEE"/>
    <w:rsid w:val="003414EA"/>
    <w:rsid w:val="00351E1D"/>
    <w:rsid w:val="00355BA1"/>
    <w:rsid w:val="00355C45"/>
    <w:rsid w:val="00362C3C"/>
    <w:rsid w:val="003631D1"/>
    <w:rsid w:val="00367199"/>
    <w:rsid w:val="00371B76"/>
    <w:rsid w:val="00380F70"/>
    <w:rsid w:val="003834D0"/>
    <w:rsid w:val="00392931"/>
    <w:rsid w:val="0039345C"/>
    <w:rsid w:val="003A1CC0"/>
    <w:rsid w:val="003A2E38"/>
    <w:rsid w:val="003B3203"/>
    <w:rsid w:val="003B4249"/>
    <w:rsid w:val="003C098A"/>
    <w:rsid w:val="003C09B1"/>
    <w:rsid w:val="003C3D90"/>
    <w:rsid w:val="003C7C90"/>
    <w:rsid w:val="003D258C"/>
    <w:rsid w:val="003D4071"/>
    <w:rsid w:val="003E1080"/>
    <w:rsid w:val="003E1725"/>
    <w:rsid w:val="003E3116"/>
    <w:rsid w:val="00402361"/>
    <w:rsid w:val="004056DB"/>
    <w:rsid w:val="00407D52"/>
    <w:rsid w:val="00410A44"/>
    <w:rsid w:val="00411FF2"/>
    <w:rsid w:val="0041647C"/>
    <w:rsid w:val="004214D3"/>
    <w:rsid w:val="00423396"/>
    <w:rsid w:val="00424BA1"/>
    <w:rsid w:val="00434CC6"/>
    <w:rsid w:val="00436BDF"/>
    <w:rsid w:val="00444BAE"/>
    <w:rsid w:val="00445BE1"/>
    <w:rsid w:val="00445E4D"/>
    <w:rsid w:val="00447152"/>
    <w:rsid w:val="004517F1"/>
    <w:rsid w:val="0045290C"/>
    <w:rsid w:val="00453457"/>
    <w:rsid w:val="00456639"/>
    <w:rsid w:val="00463AF2"/>
    <w:rsid w:val="00464DCF"/>
    <w:rsid w:val="00472A61"/>
    <w:rsid w:val="004761DA"/>
    <w:rsid w:val="00480B86"/>
    <w:rsid w:val="00481BB9"/>
    <w:rsid w:val="0048683F"/>
    <w:rsid w:val="00496549"/>
    <w:rsid w:val="004A457A"/>
    <w:rsid w:val="004A590E"/>
    <w:rsid w:val="004B1891"/>
    <w:rsid w:val="004C08A0"/>
    <w:rsid w:val="004C223A"/>
    <w:rsid w:val="004D6A78"/>
    <w:rsid w:val="004F42FE"/>
    <w:rsid w:val="004F49F3"/>
    <w:rsid w:val="004F57E3"/>
    <w:rsid w:val="00502DED"/>
    <w:rsid w:val="00511B70"/>
    <w:rsid w:val="00532CF9"/>
    <w:rsid w:val="005352F5"/>
    <w:rsid w:val="0053782E"/>
    <w:rsid w:val="00550221"/>
    <w:rsid w:val="005521F3"/>
    <w:rsid w:val="00552A5D"/>
    <w:rsid w:val="005648A6"/>
    <w:rsid w:val="00570003"/>
    <w:rsid w:val="005708DE"/>
    <w:rsid w:val="0058040D"/>
    <w:rsid w:val="00581B5C"/>
    <w:rsid w:val="005829B1"/>
    <w:rsid w:val="00583C52"/>
    <w:rsid w:val="0059154E"/>
    <w:rsid w:val="00592DA6"/>
    <w:rsid w:val="00593D0F"/>
    <w:rsid w:val="0059403E"/>
    <w:rsid w:val="005A0D48"/>
    <w:rsid w:val="005A359F"/>
    <w:rsid w:val="005C29CA"/>
    <w:rsid w:val="005C72EC"/>
    <w:rsid w:val="005D162E"/>
    <w:rsid w:val="005D1F61"/>
    <w:rsid w:val="005D4FED"/>
    <w:rsid w:val="005E5213"/>
    <w:rsid w:val="005E78EE"/>
    <w:rsid w:val="005F673A"/>
    <w:rsid w:val="00600BE2"/>
    <w:rsid w:val="006023D7"/>
    <w:rsid w:val="00605419"/>
    <w:rsid w:val="00610EFF"/>
    <w:rsid w:val="00612A04"/>
    <w:rsid w:val="006205A3"/>
    <w:rsid w:val="00620AA9"/>
    <w:rsid w:val="00623ABA"/>
    <w:rsid w:val="00623D41"/>
    <w:rsid w:val="00627C90"/>
    <w:rsid w:val="00627DF6"/>
    <w:rsid w:val="00630D97"/>
    <w:rsid w:val="00642983"/>
    <w:rsid w:val="00643734"/>
    <w:rsid w:val="00652A82"/>
    <w:rsid w:val="00652C40"/>
    <w:rsid w:val="006544E8"/>
    <w:rsid w:val="006645E2"/>
    <w:rsid w:val="00665D64"/>
    <w:rsid w:val="00666F84"/>
    <w:rsid w:val="00670AB7"/>
    <w:rsid w:val="00671443"/>
    <w:rsid w:val="0067470D"/>
    <w:rsid w:val="00674D8C"/>
    <w:rsid w:val="006823BA"/>
    <w:rsid w:val="0069051A"/>
    <w:rsid w:val="006910C0"/>
    <w:rsid w:val="0069433D"/>
    <w:rsid w:val="006971BC"/>
    <w:rsid w:val="00697FBB"/>
    <w:rsid w:val="006A41D5"/>
    <w:rsid w:val="006A71D7"/>
    <w:rsid w:val="006B06E3"/>
    <w:rsid w:val="006B24D1"/>
    <w:rsid w:val="006C1593"/>
    <w:rsid w:val="006D196B"/>
    <w:rsid w:val="006D3F80"/>
    <w:rsid w:val="006E3593"/>
    <w:rsid w:val="006E5895"/>
    <w:rsid w:val="006E608C"/>
    <w:rsid w:val="006E74D5"/>
    <w:rsid w:val="006F5A1D"/>
    <w:rsid w:val="00706CAE"/>
    <w:rsid w:val="00721D11"/>
    <w:rsid w:val="007232AD"/>
    <w:rsid w:val="00735560"/>
    <w:rsid w:val="007425DF"/>
    <w:rsid w:val="0074489F"/>
    <w:rsid w:val="00744BA6"/>
    <w:rsid w:val="007500A0"/>
    <w:rsid w:val="007521D0"/>
    <w:rsid w:val="00752D07"/>
    <w:rsid w:val="00754947"/>
    <w:rsid w:val="007603B8"/>
    <w:rsid w:val="00765179"/>
    <w:rsid w:val="0076578B"/>
    <w:rsid w:val="007670B2"/>
    <w:rsid w:val="007728DD"/>
    <w:rsid w:val="00772FCB"/>
    <w:rsid w:val="00776504"/>
    <w:rsid w:val="00777CC4"/>
    <w:rsid w:val="0078277E"/>
    <w:rsid w:val="00784401"/>
    <w:rsid w:val="00784565"/>
    <w:rsid w:val="00795B5E"/>
    <w:rsid w:val="007C004F"/>
    <w:rsid w:val="007C4FCC"/>
    <w:rsid w:val="007C7689"/>
    <w:rsid w:val="007D3CDA"/>
    <w:rsid w:val="007E489A"/>
    <w:rsid w:val="007E5209"/>
    <w:rsid w:val="007F134A"/>
    <w:rsid w:val="007F5AC6"/>
    <w:rsid w:val="00807BCD"/>
    <w:rsid w:val="00811409"/>
    <w:rsid w:val="00814A9D"/>
    <w:rsid w:val="00820C36"/>
    <w:rsid w:val="0085621C"/>
    <w:rsid w:val="00865C61"/>
    <w:rsid w:val="00876190"/>
    <w:rsid w:val="0087759F"/>
    <w:rsid w:val="0088033B"/>
    <w:rsid w:val="008832FC"/>
    <w:rsid w:val="0089371E"/>
    <w:rsid w:val="008958A4"/>
    <w:rsid w:val="008A118D"/>
    <w:rsid w:val="008C150E"/>
    <w:rsid w:val="008C2CFE"/>
    <w:rsid w:val="008C4099"/>
    <w:rsid w:val="008C7896"/>
    <w:rsid w:val="008D0195"/>
    <w:rsid w:val="008E336D"/>
    <w:rsid w:val="008E49A7"/>
    <w:rsid w:val="008E6E61"/>
    <w:rsid w:val="008F0597"/>
    <w:rsid w:val="008F1483"/>
    <w:rsid w:val="008F536B"/>
    <w:rsid w:val="00905778"/>
    <w:rsid w:val="009100F3"/>
    <w:rsid w:val="00917A10"/>
    <w:rsid w:val="009306DF"/>
    <w:rsid w:val="0093330E"/>
    <w:rsid w:val="00936EC7"/>
    <w:rsid w:val="00946D91"/>
    <w:rsid w:val="00951F88"/>
    <w:rsid w:val="0095217B"/>
    <w:rsid w:val="009572BB"/>
    <w:rsid w:val="009573B9"/>
    <w:rsid w:val="00961006"/>
    <w:rsid w:val="00962772"/>
    <w:rsid w:val="009678B7"/>
    <w:rsid w:val="00972596"/>
    <w:rsid w:val="0099530F"/>
    <w:rsid w:val="00995808"/>
    <w:rsid w:val="0099692F"/>
    <w:rsid w:val="00997B1A"/>
    <w:rsid w:val="009A5CD9"/>
    <w:rsid w:val="009A6589"/>
    <w:rsid w:val="009A7816"/>
    <w:rsid w:val="009B1006"/>
    <w:rsid w:val="009B5761"/>
    <w:rsid w:val="009B6CF2"/>
    <w:rsid w:val="009D1F25"/>
    <w:rsid w:val="009E491D"/>
    <w:rsid w:val="009F56F5"/>
    <w:rsid w:val="00A00C1B"/>
    <w:rsid w:val="00A052CE"/>
    <w:rsid w:val="00A11039"/>
    <w:rsid w:val="00A119FB"/>
    <w:rsid w:val="00A12238"/>
    <w:rsid w:val="00A16C09"/>
    <w:rsid w:val="00A2051D"/>
    <w:rsid w:val="00A21F0C"/>
    <w:rsid w:val="00A22BE0"/>
    <w:rsid w:val="00A24ED5"/>
    <w:rsid w:val="00A27110"/>
    <w:rsid w:val="00A33D67"/>
    <w:rsid w:val="00A41917"/>
    <w:rsid w:val="00A44009"/>
    <w:rsid w:val="00A44BCB"/>
    <w:rsid w:val="00A46F3A"/>
    <w:rsid w:val="00A546C8"/>
    <w:rsid w:val="00A56C1D"/>
    <w:rsid w:val="00A655B7"/>
    <w:rsid w:val="00A7286E"/>
    <w:rsid w:val="00A739AA"/>
    <w:rsid w:val="00A77F7A"/>
    <w:rsid w:val="00A80E3A"/>
    <w:rsid w:val="00A838CC"/>
    <w:rsid w:val="00A916CE"/>
    <w:rsid w:val="00AA072C"/>
    <w:rsid w:val="00AA1F04"/>
    <w:rsid w:val="00AA2AEC"/>
    <w:rsid w:val="00AB0000"/>
    <w:rsid w:val="00AB3477"/>
    <w:rsid w:val="00AB685E"/>
    <w:rsid w:val="00AC4FF7"/>
    <w:rsid w:val="00AC58F5"/>
    <w:rsid w:val="00AD08F4"/>
    <w:rsid w:val="00AD183C"/>
    <w:rsid w:val="00AD3ACE"/>
    <w:rsid w:val="00AD6F3B"/>
    <w:rsid w:val="00AD732A"/>
    <w:rsid w:val="00AF2EF3"/>
    <w:rsid w:val="00AF6E66"/>
    <w:rsid w:val="00B11CDE"/>
    <w:rsid w:val="00B24034"/>
    <w:rsid w:val="00B2413A"/>
    <w:rsid w:val="00B3468F"/>
    <w:rsid w:val="00B42821"/>
    <w:rsid w:val="00B4521B"/>
    <w:rsid w:val="00B502A8"/>
    <w:rsid w:val="00B57747"/>
    <w:rsid w:val="00B625DE"/>
    <w:rsid w:val="00B665A5"/>
    <w:rsid w:val="00B706DD"/>
    <w:rsid w:val="00B72D94"/>
    <w:rsid w:val="00B74223"/>
    <w:rsid w:val="00B841B0"/>
    <w:rsid w:val="00B876A9"/>
    <w:rsid w:val="00B9295A"/>
    <w:rsid w:val="00B9692F"/>
    <w:rsid w:val="00BA5238"/>
    <w:rsid w:val="00BC4FE7"/>
    <w:rsid w:val="00BC6037"/>
    <w:rsid w:val="00BD04FA"/>
    <w:rsid w:val="00BD2E02"/>
    <w:rsid w:val="00BE2842"/>
    <w:rsid w:val="00BF0BB8"/>
    <w:rsid w:val="00BF3C01"/>
    <w:rsid w:val="00C017F1"/>
    <w:rsid w:val="00C0291E"/>
    <w:rsid w:val="00C140AF"/>
    <w:rsid w:val="00C142BA"/>
    <w:rsid w:val="00C1706D"/>
    <w:rsid w:val="00C222A2"/>
    <w:rsid w:val="00C24AEB"/>
    <w:rsid w:val="00C25218"/>
    <w:rsid w:val="00C33EC0"/>
    <w:rsid w:val="00C35310"/>
    <w:rsid w:val="00C44E1C"/>
    <w:rsid w:val="00C5318F"/>
    <w:rsid w:val="00C61231"/>
    <w:rsid w:val="00C70043"/>
    <w:rsid w:val="00C73EB3"/>
    <w:rsid w:val="00C83C40"/>
    <w:rsid w:val="00C95847"/>
    <w:rsid w:val="00CC20BA"/>
    <w:rsid w:val="00CC2DC7"/>
    <w:rsid w:val="00CD0AA2"/>
    <w:rsid w:val="00CD251D"/>
    <w:rsid w:val="00CD6F65"/>
    <w:rsid w:val="00CE6D4F"/>
    <w:rsid w:val="00CF54FE"/>
    <w:rsid w:val="00D13633"/>
    <w:rsid w:val="00D163E0"/>
    <w:rsid w:val="00D176B9"/>
    <w:rsid w:val="00D2003F"/>
    <w:rsid w:val="00D21E22"/>
    <w:rsid w:val="00D22568"/>
    <w:rsid w:val="00D241F9"/>
    <w:rsid w:val="00D32FF5"/>
    <w:rsid w:val="00D36623"/>
    <w:rsid w:val="00D40D3D"/>
    <w:rsid w:val="00D43E77"/>
    <w:rsid w:val="00D44F1B"/>
    <w:rsid w:val="00D636E6"/>
    <w:rsid w:val="00D64F27"/>
    <w:rsid w:val="00D765E1"/>
    <w:rsid w:val="00D7706C"/>
    <w:rsid w:val="00D8211F"/>
    <w:rsid w:val="00D84189"/>
    <w:rsid w:val="00D854FD"/>
    <w:rsid w:val="00D9136F"/>
    <w:rsid w:val="00D92220"/>
    <w:rsid w:val="00D9622E"/>
    <w:rsid w:val="00D9643D"/>
    <w:rsid w:val="00DE2827"/>
    <w:rsid w:val="00DE6187"/>
    <w:rsid w:val="00DF0FBD"/>
    <w:rsid w:val="00DF26D9"/>
    <w:rsid w:val="00E01046"/>
    <w:rsid w:val="00E071C7"/>
    <w:rsid w:val="00E1271B"/>
    <w:rsid w:val="00E158CB"/>
    <w:rsid w:val="00E25F2D"/>
    <w:rsid w:val="00E30BBE"/>
    <w:rsid w:val="00E365CA"/>
    <w:rsid w:val="00E445A1"/>
    <w:rsid w:val="00E44A90"/>
    <w:rsid w:val="00E504C0"/>
    <w:rsid w:val="00E52219"/>
    <w:rsid w:val="00E540A8"/>
    <w:rsid w:val="00E61F47"/>
    <w:rsid w:val="00E63064"/>
    <w:rsid w:val="00E713C8"/>
    <w:rsid w:val="00E739EB"/>
    <w:rsid w:val="00E80628"/>
    <w:rsid w:val="00E84CB6"/>
    <w:rsid w:val="00E92492"/>
    <w:rsid w:val="00E9424C"/>
    <w:rsid w:val="00E954B0"/>
    <w:rsid w:val="00E97BC7"/>
    <w:rsid w:val="00EA0F71"/>
    <w:rsid w:val="00EA2133"/>
    <w:rsid w:val="00EA329C"/>
    <w:rsid w:val="00EA4C63"/>
    <w:rsid w:val="00EB4FFD"/>
    <w:rsid w:val="00EC1458"/>
    <w:rsid w:val="00EC4E86"/>
    <w:rsid w:val="00ED2605"/>
    <w:rsid w:val="00ED4582"/>
    <w:rsid w:val="00ED7306"/>
    <w:rsid w:val="00EE7265"/>
    <w:rsid w:val="00EF0A62"/>
    <w:rsid w:val="00EF0E52"/>
    <w:rsid w:val="00EF1B64"/>
    <w:rsid w:val="00EF3B40"/>
    <w:rsid w:val="00EF3B43"/>
    <w:rsid w:val="00EF3FBF"/>
    <w:rsid w:val="00EF4556"/>
    <w:rsid w:val="00EF5FAF"/>
    <w:rsid w:val="00EF6302"/>
    <w:rsid w:val="00EF6DE2"/>
    <w:rsid w:val="00F21D33"/>
    <w:rsid w:val="00F24B95"/>
    <w:rsid w:val="00F25C70"/>
    <w:rsid w:val="00F326FC"/>
    <w:rsid w:val="00F3378B"/>
    <w:rsid w:val="00F33D13"/>
    <w:rsid w:val="00F40036"/>
    <w:rsid w:val="00F41963"/>
    <w:rsid w:val="00F474CB"/>
    <w:rsid w:val="00F50EB3"/>
    <w:rsid w:val="00F6125D"/>
    <w:rsid w:val="00F628B5"/>
    <w:rsid w:val="00F84630"/>
    <w:rsid w:val="00F942C4"/>
    <w:rsid w:val="00F94CC3"/>
    <w:rsid w:val="00F956FE"/>
    <w:rsid w:val="00FA1DC1"/>
    <w:rsid w:val="00FA34C4"/>
    <w:rsid w:val="00FB1DF2"/>
    <w:rsid w:val="00FB2AF9"/>
    <w:rsid w:val="00FC5D87"/>
    <w:rsid w:val="00FD23DF"/>
    <w:rsid w:val="00FD45AA"/>
    <w:rsid w:val="00FE049D"/>
    <w:rsid w:val="00FE2CFE"/>
    <w:rsid w:val="00FF010C"/>
    <w:rsid w:val="00FF16CA"/>
    <w:rsid w:val="00FF2C4B"/>
    <w:rsid w:val="00FF7DC5"/>
    <w:rsid w:val="01A80A49"/>
    <w:rsid w:val="01AE1618"/>
    <w:rsid w:val="01D67084"/>
    <w:rsid w:val="0251531E"/>
    <w:rsid w:val="02844725"/>
    <w:rsid w:val="02E718B5"/>
    <w:rsid w:val="03CB33A4"/>
    <w:rsid w:val="03FB3320"/>
    <w:rsid w:val="04BC3F2E"/>
    <w:rsid w:val="05B00591"/>
    <w:rsid w:val="06954ACB"/>
    <w:rsid w:val="0705568D"/>
    <w:rsid w:val="073D38A1"/>
    <w:rsid w:val="07A42A85"/>
    <w:rsid w:val="084301B6"/>
    <w:rsid w:val="09AC16F8"/>
    <w:rsid w:val="09FB2E6B"/>
    <w:rsid w:val="0C7F34FA"/>
    <w:rsid w:val="0C9B3875"/>
    <w:rsid w:val="0CA83961"/>
    <w:rsid w:val="0CD34E4E"/>
    <w:rsid w:val="0DE71D30"/>
    <w:rsid w:val="0EC003E8"/>
    <w:rsid w:val="107F1014"/>
    <w:rsid w:val="114C7B9F"/>
    <w:rsid w:val="1156570D"/>
    <w:rsid w:val="146264BD"/>
    <w:rsid w:val="154D6060"/>
    <w:rsid w:val="16145FB7"/>
    <w:rsid w:val="162E5534"/>
    <w:rsid w:val="16F27348"/>
    <w:rsid w:val="18663B3C"/>
    <w:rsid w:val="19604A70"/>
    <w:rsid w:val="198B2FF0"/>
    <w:rsid w:val="1B7D6F52"/>
    <w:rsid w:val="1DE1357F"/>
    <w:rsid w:val="1DEA1774"/>
    <w:rsid w:val="1E5E7447"/>
    <w:rsid w:val="1E8E53F6"/>
    <w:rsid w:val="1F937479"/>
    <w:rsid w:val="20FB08E5"/>
    <w:rsid w:val="212D0B18"/>
    <w:rsid w:val="221072CF"/>
    <w:rsid w:val="27815955"/>
    <w:rsid w:val="2914112C"/>
    <w:rsid w:val="292C67FC"/>
    <w:rsid w:val="2DD01FC4"/>
    <w:rsid w:val="30243770"/>
    <w:rsid w:val="318A2D2E"/>
    <w:rsid w:val="32F10DF5"/>
    <w:rsid w:val="336970F4"/>
    <w:rsid w:val="34751048"/>
    <w:rsid w:val="351E23FB"/>
    <w:rsid w:val="357512CF"/>
    <w:rsid w:val="39637F7C"/>
    <w:rsid w:val="3A6D35B6"/>
    <w:rsid w:val="3A7C3926"/>
    <w:rsid w:val="3DFF5975"/>
    <w:rsid w:val="3EB82CE4"/>
    <w:rsid w:val="405F4568"/>
    <w:rsid w:val="43834D98"/>
    <w:rsid w:val="441C0307"/>
    <w:rsid w:val="449E4BB3"/>
    <w:rsid w:val="45BF3D23"/>
    <w:rsid w:val="45DD1E03"/>
    <w:rsid w:val="464B192A"/>
    <w:rsid w:val="473C213D"/>
    <w:rsid w:val="4743003F"/>
    <w:rsid w:val="4A355BBE"/>
    <w:rsid w:val="4ACF036D"/>
    <w:rsid w:val="4B41492B"/>
    <w:rsid w:val="4C907958"/>
    <w:rsid w:val="4CC1184A"/>
    <w:rsid w:val="4DE90002"/>
    <w:rsid w:val="4DE94483"/>
    <w:rsid w:val="4FC205C8"/>
    <w:rsid w:val="53384F50"/>
    <w:rsid w:val="55686BE1"/>
    <w:rsid w:val="55AD2D59"/>
    <w:rsid w:val="569A79E9"/>
    <w:rsid w:val="57B058F7"/>
    <w:rsid w:val="5A885A96"/>
    <w:rsid w:val="5BA11EA0"/>
    <w:rsid w:val="5BB36D43"/>
    <w:rsid w:val="5D690D2B"/>
    <w:rsid w:val="5E404F75"/>
    <w:rsid w:val="608A35E8"/>
    <w:rsid w:val="615F4292"/>
    <w:rsid w:val="61E404FF"/>
    <w:rsid w:val="626D058B"/>
    <w:rsid w:val="63D5092A"/>
    <w:rsid w:val="658A3A23"/>
    <w:rsid w:val="67D24CE5"/>
    <w:rsid w:val="68464E03"/>
    <w:rsid w:val="6A9C6E33"/>
    <w:rsid w:val="6C041E6C"/>
    <w:rsid w:val="6C704D24"/>
    <w:rsid w:val="70E42836"/>
    <w:rsid w:val="71CA22C6"/>
    <w:rsid w:val="72CD679D"/>
    <w:rsid w:val="72E62E8C"/>
    <w:rsid w:val="742C604A"/>
    <w:rsid w:val="750F2BF8"/>
    <w:rsid w:val="755E43A0"/>
    <w:rsid w:val="762F6E4A"/>
    <w:rsid w:val="766817D9"/>
    <w:rsid w:val="776F22FD"/>
    <w:rsid w:val="77D20BF7"/>
    <w:rsid w:val="79AD7060"/>
    <w:rsid w:val="7AB13153"/>
    <w:rsid w:val="7D651C73"/>
    <w:rsid w:val="7E255307"/>
    <w:rsid w:val="7E642566"/>
    <w:rsid w:val="7E6E221E"/>
    <w:rsid w:val="7F0639ED"/>
    <w:rsid w:val="7FF91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9"/>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40"/>
    <w:qFormat/>
    <w:uiPriority w:val="0"/>
    <w:pPr>
      <w:keepNext/>
      <w:keepLines/>
      <w:spacing w:before="260" w:after="260" w:line="413" w:lineRule="auto"/>
      <w:outlineLvl w:val="1"/>
    </w:pPr>
    <w:rPr>
      <w:rFonts w:ascii="Arial" w:hAnsi="Arial" w:eastAsia="黑体"/>
      <w:b/>
      <w:sz w:val="32"/>
      <w:szCs w:val="20"/>
    </w:rPr>
  </w:style>
  <w:style w:type="paragraph" w:styleId="4">
    <w:name w:val="heading 3"/>
    <w:basedOn w:val="1"/>
    <w:next w:val="1"/>
    <w:link w:val="41"/>
    <w:qFormat/>
    <w:uiPriority w:val="0"/>
    <w:pPr>
      <w:keepNext/>
      <w:keepLines/>
      <w:spacing w:before="260" w:after="260" w:line="413" w:lineRule="auto"/>
      <w:outlineLvl w:val="2"/>
    </w:pPr>
    <w:rPr>
      <w:rFonts w:ascii="Times New Roman" w:hAnsi="Times New Roman"/>
      <w:b/>
      <w:sz w:val="32"/>
      <w:szCs w:val="20"/>
    </w:rPr>
  </w:style>
  <w:style w:type="paragraph" w:styleId="5">
    <w:name w:val="heading 4"/>
    <w:basedOn w:val="1"/>
    <w:next w:val="1"/>
    <w:link w:val="42"/>
    <w:qFormat/>
    <w:uiPriority w:val="0"/>
    <w:pPr>
      <w:keepNext/>
      <w:keepLines/>
      <w:spacing w:before="280" w:after="290" w:line="372" w:lineRule="auto"/>
      <w:outlineLvl w:val="3"/>
    </w:pPr>
    <w:rPr>
      <w:rFonts w:ascii="Arial" w:hAnsi="Arial" w:eastAsia="黑体"/>
      <w:b/>
      <w:kern w:val="0"/>
      <w:sz w:val="28"/>
      <w:szCs w:val="20"/>
    </w:rPr>
  </w:style>
  <w:style w:type="paragraph" w:styleId="6">
    <w:name w:val="heading 5"/>
    <w:basedOn w:val="1"/>
    <w:next w:val="1"/>
    <w:link w:val="43"/>
    <w:qFormat/>
    <w:uiPriority w:val="9"/>
    <w:pPr>
      <w:keepNext/>
      <w:keepLines/>
      <w:spacing w:before="280" w:after="290" w:line="376" w:lineRule="auto"/>
      <w:outlineLvl w:val="4"/>
    </w:pPr>
    <w:rPr>
      <w:b/>
      <w:bCs/>
      <w:sz w:val="28"/>
      <w:szCs w:val="28"/>
    </w:rPr>
  </w:style>
  <w:style w:type="paragraph" w:styleId="7">
    <w:name w:val="heading 6"/>
    <w:basedOn w:val="1"/>
    <w:next w:val="1"/>
    <w:link w:val="44"/>
    <w:qFormat/>
    <w:uiPriority w:val="0"/>
    <w:pPr>
      <w:keepNext/>
      <w:keepLines/>
      <w:widowControl/>
      <w:tabs>
        <w:tab w:val="left" w:pos="1440"/>
      </w:tabs>
      <w:spacing w:before="240" w:after="64" w:line="317" w:lineRule="auto"/>
      <w:ind w:left="1152" w:hanging="1152"/>
      <w:jc w:val="left"/>
      <w:outlineLvl w:val="5"/>
    </w:pPr>
    <w:rPr>
      <w:rFonts w:ascii="Arial" w:hAnsi="Arial" w:eastAsia="黑体"/>
      <w:b/>
      <w:kern w:val="0"/>
      <w:sz w:val="24"/>
      <w:szCs w:val="20"/>
    </w:rPr>
  </w:style>
  <w:style w:type="paragraph" w:styleId="8">
    <w:name w:val="heading 7"/>
    <w:basedOn w:val="1"/>
    <w:next w:val="1"/>
    <w:link w:val="45"/>
    <w:qFormat/>
    <w:uiPriority w:val="0"/>
    <w:pPr>
      <w:keepNext/>
      <w:keepLines/>
      <w:widowControl/>
      <w:tabs>
        <w:tab w:val="left" w:pos="2520"/>
      </w:tabs>
      <w:spacing w:before="240" w:after="64" w:line="317" w:lineRule="auto"/>
      <w:ind w:left="1296" w:hanging="1296"/>
      <w:jc w:val="left"/>
      <w:outlineLvl w:val="6"/>
    </w:pPr>
    <w:rPr>
      <w:b/>
      <w:kern w:val="0"/>
      <w:sz w:val="24"/>
      <w:szCs w:val="20"/>
    </w:rPr>
  </w:style>
  <w:style w:type="paragraph" w:styleId="9">
    <w:name w:val="heading 8"/>
    <w:basedOn w:val="1"/>
    <w:next w:val="1"/>
    <w:link w:val="46"/>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szCs w:val="20"/>
    </w:rPr>
  </w:style>
  <w:style w:type="paragraph" w:styleId="10">
    <w:name w:val="heading 9"/>
    <w:basedOn w:val="1"/>
    <w:next w:val="1"/>
    <w:link w:val="47"/>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 w:val="20"/>
      <w:szCs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99"/>
    <w:pPr>
      <w:ind w:firstLine="420"/>
    </w:pPr>
  </w:style>
  <w:style w:type="paragraph" w:styleId="12">
    <w:name w:val="Document Map"/>
    <w:basedOn w:val="1"/>
    <w:link w:val="48"/>
    <w:qFormat/>
    <w:uiPriority w:val="0"/>
    <w:rPr>
      <w:rFonts w:ascii="宋体" w:hAnsi="Times New Roman"/>
      <w:sz w:val="18"/>
      <w:szCs w:val="18"/>
    </w:rPr>
  </w:style>
  <w:style w:type="paragraph" w:styleId="13">
    <w:name w:val="toa heading"/>
    <w:basedOn w:val="1"/>
    <w:next w:val="1"/>
    <w:qFormat/>
    <w:uiPriority w:val="0"/>
    <w:pPr>
      <w:autoSpaceDE w:val="0"/>
      <w:autoSpaceDN w:val="0"/>
      <w:adjustRightInd w:val="0"/>
      <w:spacing w:before="120"/>
      <w:jc w:val="left"/>
    </w:pPr>
    <w:rPr>
      <w:rFonts w:ascii="Arial" w:hAnsi="Arial"/>
      <w:kern w:val="0"/>
      <w:sz w:val="24"/>
    </w:rPr>
  </w:style>
  <w:style w:type="paragraph" w:styleId="14">
    <w:name w:val="Body Text 3"/>
    <w:basedOn w:val="1"/>
    <w:link w:val="49"/>
    <w:qFormat/>
    <w:uiPriority w:val="0"/>
    <w:rPr>
      <w:rFonts w:ascii="Times New Roman" w:hAnsi="Times New Roman"/>
      <w:sz w:val="22"/>
      <w:szCs w:val="20"/>
    </w:rPr>
  </w:style>
  <w:style w:type="paragraph" w:styleId="15">
    <w:name w:val="Body Text"/>
    <w:basedOn w:val="1"/>
    <w:next w:val="1"/>
    <w:link w:val="38"/>
    <w:qFormat/>
    <w:uiPriority w:val="0"/>
    <w:pPr>
      <w:ind w:right="-1243"/>
      <w:jc w:val="left"/>
    </w:pPr>
    <w:rPr>
      <w:rFonts w:ascii="Times New Roman" w:hAnsi="Times New Roman"/>
      <w:color w:val="000000"/>
      <w:sz w:val="28"/>
      <w:szCs w:val="20"/>
    </w:rPr>
  </w:style>
  <w:style w:type="paragraph" w:styleId="16">
    <w:name w:val="Body Text Indent"/>
    <w:basedOn w:val="1"/>
    <w:link w:val="50"/>
    <w:qFormat/>
    <w:uiPriority w:val="0"/>
    <w:pPr>
      <w:ind w:firstLine="560"/>
    </w:pPr>
    <w:rPr>
      <w:rFonts w:ascii="Times New Roman" w:hAnsi="Times New Roman"/>
      <w:sz w:val="28"/>
      <w:szCs w:val="20"/>
    </w:rPr>
  </w:style>
  <w:style w:type="paragraph" w:styleId="17">
    <w:name w:val="Block Text"/>
    <w:basedOn w:val="1"/>
    <w:qFormat/>
    <w:uiPriority w:val="0"/>
    <w:pPr>
      <w:ind w:left="1260" w:right="-1243"/>
      <w:jc w:val="left"/>
    </w:pPr>
    <w:rPr>
      <w:color w:val="000000"/>
      <w:sz w:val="32"/>
      <w:szCs w:val="20"/>
    </w:rPr>
  </w:style>
  <w:style w:type="paragraph" w:styleId="18">
    <w:name w:val="Date"/>
    <w:basedOn w:val="1"/>
    <w:next w:val="1"/>
    <w:link w:val="52"/>
    <w:qFormat/>
    <w:uiPriority w:val="0"/>
    <w:pPr>
      <w:ind w:left="100"/>
    </w:pPr>
    <w:rPr>
      <w:rFonts w:ascii="Times New Roman" w:hAnsi="Times New Roman"/>
      <w:szCs w:val="24"/>
    </w:rPr>
  </w:style>
  <w:style w:type="paragraph" w:styleId="19">
    <w:name w:val="Body Text Indent 2"/>
    <w:basedOn w:val="1"/>
    <w:link w:val="53"/>
    <w:qFormat/>
    <w:uiPriority w:val="0"/>
    <w:pPr>
      <w:tabs>
        <w:tab w:val="left" w:pos="900"/>
      </w:tabs>
      <w:ind w:left="1260"/>
    </w:pPr>
    <w:rPr>
      <w:rFonts w:ascii="Times New Roman" w:hAnsi="Times New Roman"/>
      <w:szCs w:val="24"/>
    </w:rPr>
  </w:style>
  <w:style w:type="paragraph" w:styleId="20">
    <w:name w:val="Balloon Text"/>
    <w:basedOn w:val="1"/>
    <w:link w:val="54"/>
    <w:qFormat/>
    <w:uiPriority w:val="0"/>
    <w:rPr>
      <w:rFonts w:ascii="Times New Roman" w:hAnsi="Times New Roman"/>
      <w:sz w:val="18"/>
      <w:szCs w:val="18"/>
    </w:rPr>
  </w:style>
  <w:style w:type="paragraph" w:styleId="21">
    <w:name w:val="footer"/>
    <w:basedOn w:val="1"/>
    <w:link w:val="55"/>
    <w:qFormat/>
    <w:uiPriority w:val="99"/>
    <w:pPr>
      <w:tabs>
        <w:tab w:val="center" w:pos="4153"/>
        <w:tab w:val="right" w:pos="8306"/>
      </w:tabs>
      <w:snapToGrid w:val="0"/>
      <w:jc w:val="center"/>
    </w:pPr>
    <w:rPr>
      <w:rFonts w:ascii="Times New Roman" w:hAnsi="Times New Roman"/>
      <w:sz w:val="18"/>
      <w:szCs w:val="18"/>
    </w:rPr>
  </w:style>
  <w:style w:type="paragraph" w:styleId="22">
    <w:name w:val="header"/>
    <w:basedOn w:val="1"/>
    <w:link w:val="56"/>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3">
    <w:name w:val="toc 6"/>
    <w:basedOn w:val="1"/>
    <w:next w:val="1"/>
    <w:qFormat/>
    <w:uiPriority w:val="0"/>
    <w:pPr>
      <w:ind w:left="2100" w:leftChars="1000"/>
    </w:pPr>
    <w:rPr>
      <w:szCs w:val="24"/>
    </w:rPr>
  </w:style>
  <w:style w:type="paragraph" w:styleId="24">
    <w:name w:val="Body Text Indent 3"/>
    <w:basedOn w:val="1"/>
    <w:link w:val="59"/>
    <w:qFormat/>
    <w:uiPriority w:val="0"/>
    <w:pPr>
      <w:tabs>
        <w:tab w:val="left" w:pos="900"/>
      </w:tabs>
      <w:ind w:left="359" w:firstLine="420"/>
    </w:pPr>
    <w:rPr>
      <w:rFonts w:ascii="Times New Roman" w:hAnsi="Times New Roman"/>
      <w:szCs w:val="24"/>
    </w:rPr>
  </w:style>
  <w:style w:type="paragraph" w:styleId="25">
    <w:name w:val="Body Text 2"/>
    <w:basedOn w:val="1"/>
    <w:link w:val="61"/>
    <w:qFormat/>
    <w:uiPriority w:val="0"/>
    <w:pPr>
      <w:spacing w:line="360" w:lineRule="auto"/>
    </w:pPr>
    <w:rPr>
      <w:rFonts w:ascii="Times New Roman" w:hAnsi="Times New Roman"/>
      <w:b/>
      <w:bCs/>
      <w:spacing w:val="10"/>
      <w:sz w:val="24"/>
      <w:szCs w:val="20"/>
    </w:rPr>
  </w:style>
  <w:style w:type="paragraph" w:styleId="26">
    <w:name w:val="Normal (Web)"/>
    <w:basedOn w:val="1"/>
    <w:qFormat/>
    <w:uiPriority w:val="0"/>
    <w:pPr>
      <w:widowControl/>
      <w:spacing w:before="100" w:after="100"/>
      <w:jc w:val="left"/>
    </w:pPr>
    <w:rPr>
      <w:rFonts w:hint="eastAsia" w:ascii="Arial Unicode MS" w:hAnsi="Arial Unicode MS" w:eastAsia="Arial Unicode MS"/>
      <w:kern w:val="0"/>
      <w:sz w:val="24"/>
    </w:rPr>
  </w:style>
  <w:style w:type="paragraph" w:styleId="27">
    <w:name w:val="Title"/>
    <w:basedOn w:val="1"/>
    <w:link w:val="62"/>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8">
    <w:name w:val="Body Text First Indent"/>
    <w:basedOn w:val="15"/>
    <w:next w:val="23"/>
    <w:qFormat/>
    <w:uiPriority w:val="0"/>
    <w:pPr>
      <w:ind w:firstLine="420" w:firstLineChars="1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rPr>
  </w:style>
  <w:style w:type="character" w:styleId="33">
    <w:name w:val="page number"/>
    <w:qFormat/>
    <w:uiPriority w:val="0"/>
  </w:style>
  <w:style w:type="character" w:styleId="34">
    <w:name w:val="Emphasis"/>
    <w:qFormat/>
    <w:uiPriority w:val="20"/>
    <w:rPr>
      <w:i/>
      <w:iCs/>
    </w:rPr>
  </w:style>
  <w:style w:type="character" w:styleId="35">
    <w:name w:val="Hyperlink"/>
    <w:qFormat/>
    <w:uiPriority w:val="99"/>
    <w:rPr>
      <w:color w:val="0000FF"/>
      <w:u w:val="single"/>
    </w:rPr>
  </w:style>
  <w:style w:type="paragraph" w:customStyle="1" w:styleId="36">
    <w:name w:val="正文首行缩进1"/>
    <w:basedOn w:val="15"/>
    <w:next w:val="37"/>
    <w:qFormat/>
    <w:uiPriority w:val="0"/>
    <w:pPr>
      <w:ind w:firstLine="420" w:firstLineChars="100"/>
    </w:pPr>
  </w:style>
  <w:style w:type="paragraph" w:customStyle="1" w:styleId="37">
    <w:name w:val="目录 61"/>
    <w:basedOn w:val="1"/>
    <w:next w:val="1"/>
    <w:qFormat/>
    <w:uiPriority w:val="0"/>
    <w:pPr>
      <w:ind w:left="2100" w:leftChars="1000"/>
    </w:pPr>
    <w:rPr>
      <w:szCs w:val="24"/>
    </w:rPr>
  </w:style>
  <w:style w:type="character" w:customStyle="1" w:styleId="38">
    <w:name w:val="正文文本 字符"/>
    <w:link w:val="15"/>
    <w:qFormat/>
    <w:uiPriority w:val="0"/>
    <w:rPr>
      <w:color w:val="000000"/>
      <w:kern w:val="2"/>
      <w:sz w:val="28"/>
    </w:rPr>
  </w:style>
  <w:style w:type="character" w:customStyle="1" w:styleId="39">
    <w:name w:val="标题 1 字符"/>
    <w:link w:val="2"/>
    <w:qFormat/>
    <w:uiPriority w:val="0"/>
    <w:rPr>
      <w:b/>
      <w:kern w:val="44"/>
      <w:sz w:val="44"/>
    </w:rPr>
  </w:style>
  <w:style w:type="character" w:customStyle="1" w:styleId="40">
    <w:name w:val="标题 2 字符"/>
    <w:link w:val="3"/>
    <w:qFormat/>
    <w:uiPriority w:val="0"/>
    <w:rPr>
      <w:rFonts w:ascii="Arial" w:hAnsi="Arial" w:eastAsia="黑体"/>
      <w:b/>
      <w:kern w:val="2"/>
      <w:sz w:val="32"/>
    </w:rPr>
  </w:style>
  <w:style w:type="character" w:customStyle="1" w:styleId="41">
    <w:name w:val="标题 3 字符"/>
    <w:link w:val="4"/>
    <w:qFormat/>
    <w:uiPriority w:val="0"/>
    <w:rPr>
      <w:b/>
      <w:kern w:val="2"/>
      <w:sz w:val="32"/>
    </w:rPr>
  </w:style>
  <w:style w:type="character" w:customStyle="1" w:styleId="42">
    <w:name w:val="标题 4 字符"/>
    <w:link w:val="5"/>
    <w:qFormat/>
    <w:uiPriority w:val="0"/>
    <w:rPr>
      <w:rFonts w:ascii="Arial" w:hAnsi="Arial" w:eastAsia="黑体"/>
      <w:b/>
      <w:sz w:val="28"/>
    </w:rPr>
  </w:style>
  <w:style w:type="character" w:customStyle="1" w:styleId="43">
    <w:name w:val="标题 5 字符"/>
    <w:link w:val="6"/>
    <w:qFormat/>
    <w:uiPriority w:val="9"/>
    <w:rPr>
      <w:rFonts w:ascii="Calibri" w:hAnsi="Calibri"/>
      <w:b/>
      <w:bCs/>
      <w:kern w:val="2"/>
      <w:sz w:val="28"/>
      <w:szCs w:val="28"/>
    </w:rPr>
  </w:style>
  <w:style w:type="character" w:customStyle="1" w:styleId="44">
    <w:name w:val="标题 6 字符"/>
    <w:link w:val="7"/>
    <w:qFormat/>
    <w:uiPriority w:val="0"/>
    <w:rPr>
      <w:rFonts w:ascii="Arial" w:hAnsi="Arial" w:eastAsia="黑体"/>
      <w:b/>
      <w:sz w:val="24"/>
    </w:rPr>
  </w:style>
  <w:style w:type="character" w:customStyle="1" w:styleId="45">
    <w:name w:val="标题 7 字符"/>
    <w:link w:val="8"/>
    <w:qFormat/>
    <w:uiPriority w:val="0"/>
    <w:rPr>
      <w:rFonts w:ascii="Calibri" w:hAnsi="Calibri"/>
      <w:b/>
      <w:sz w:val="24"/>
    </w:rPr>
  </w:style>
  <w:style w:type="character" w:customStyle="1" w:styleId="46">
    <w:name w:val="标题 8 字符"/>
    <w:link w:val="9"/>
    <w:qFormat/>
    <w:uiPriority w:val="0"/>
    <w:rPr>
      <w:rFonts w:ascii="Arial" w:hAnsi="Arial" w:eastAsia="黑体"/>
      <w:sz w:val="24"/>
    </w:rPr>
  </w:style>
  <w:style w:type="character" w:customStyle="1" w:styleId="47">
    <w:name w:val="标题 9 字符"/>
    <w:link w:val="10"/>
    <w:qFormat/>
    <w:uiPriority w:val="0"/>
    <w:rPr>
      <w:rFonts w:ascii="Arial" w:hAnsi="Arial" w:eastAsia="黑体"/>
    </w:rPr>
  </w:style>
  <w:style w:type="character" w:customStyle="1" w:styleId="48">
    <w:name w:val="文档结构图 字符"/>
    <w:link w:val="12"/>
    <w:qFormat/>
    <w:uiPriority w:val="0"/>
    <w:rPr>
      <w:rFonts w:ascii="宋体"/>
      <w:kern w:val="2"/>
      <w:sz w:val="18"/>
      <w:szCs w:val="18"/>
    </w:rPr>
  </w:style>
  <w:style w:type="character" w:customStyle="1" w:styleId="49">
    <w:name w:val="正文文本 3 字符"/>
    <w:link w:val="14"/>
    <w:qFormat/>
    <w:uiPriority w:val="0"/>
    <w:rPr>
      <w:kern w:val="2"/>
      <w:sz w:val="22"/>
    </w:rPr>
  </w:style>
  <w:style w:type="character" w:customStyle="1" w:styleId="50">
    <w:name w:val="正文文本缩进 字符"/>
    <w:link w:val="16"/>
    <w:qFormat/>
    <w:uiPriority w:val="0"/>
    <w:rPr>
      <w:kern w:val="2"/>
      <w:sz w:val="28"/>
    </w:rPr>
  </w:style>
  <w:style w:type="paragraph" w:customStyle="1" w:styleId="51">
    <w:name w:val="目录 31"/>
    <w:basedOn w:val="1"/>
    <w:next w:val="1"/>
    <w:qFormat/>
    <w:uiPriority w:val="39"/>
    <w:pPr>
      <w:ind w:left="840"/>
    </w:pPr>
  </w:style>
  <w:style w:type="character" w:customStyle="1" w:styleId="52">
    <w:name w:val="日期 字符"/>
    <w:link w:val="18"/>
    <w:qFormat/>
    <w:uiPriority w:val="0"/>
    <w:rPr>
      <w:kern w:val="2"/>
      <w:sz w:val="21"/>
      <w:szCs w:val="24"/>
    </w:rPr>
  </w:style>
  <w:style w:type="character" w:customStyle="1" w:styleId="53">
    <w:name w:val="正文文本缩进 2 字符"/>
    <w:link w:val="19"/>
    <w:qFormat/>
    <w:uiPriority w:val="0"/>
    <w:rPr>
      <w:kern w:val="2"/>
      <w:sz w:val="21"/>
      <w:szCs w:val="24"/>
    </w:rPr>
  </w:style>
  <w:style w:type="character" w:customStyle="1" w:styleId="54">
    <w:name w:val="批注框文本 字符1"/>
    <w:link w:val="20"/>
    <w:qFormat/>
    <w:uiPriority w:val="0"/>
    <w:rPr>
      <w:kern w:val="2"/>
      <w:sz w:val="18"/>
      <w:szCs w:val="18"/>
    </w:rPr>
  </w:style>
  <w:style w:type="character" w:customStyle="1" w:styleId="55">
    <w:name w:val="页脚 字符"/>
    <w:link w:val="21"/>
    <w:qFormat/>
    <w:uiPriority w:val="99"/>
    <w:rPr>
      <w:kern w:val="2"/>
      <w:sz w:val="18"/>
      <w:szCs w:val="18"/>
    </w:rPr>
  </w:style>
  <w:style w:type="character" w:customStyle="1" w:styleId="56">
    <w:name w:val="页眉 字符"/>
    <w:link w:val="22"/>
    <w:qFormat/>
    <w:uiPriority w:val="99"/>
    <w:rPr>
      <w:kern w:val="2"/>
      <w:sz w:val="18"/>
      <w:szCs w:val="18"/>
    </w:rPr>
  </w:style>
  <w:style w:type="paragraph" w:customStyle="1" w:styleId="57">
    <w:name w:val="目录 11"/>
    <w:basedOn w:val="1"/>
    <w:next w:val="1"/>
    <w:qFormat/>
    <w:uiPriority w:val="39"/>
  </w:style>
  <w:style w:type="paragraph" w:customStyle="1" w:styleId="58">
    <w:name w:val="目录 41"/>
    <w:basedOn w:val="1"/>
    <w:next w:val="1"/>
    <w:qFormat/>
    <w:uiPriority w:val="39"/>
    <w:pPr>
      <w:ind w:left="1260"/>
    </w:pPr>
  </w:style>
  <w:style w:type="character" w:customStyle="1" w:styleId="59">
    <w:name w:val="正文文本缩进 3 字符"/>
    <w:link w:val="24"/>
    <w:qFormat/>
    <w:uiPriority w:val="0"/>
    <w:rPr>
      <w:kern w:val="2"/>
      <w:sz w:val="21"/>
      <w:szCs w:val="24"/>
    </w:rPr>
  </w:style>
  <w:style w:type="paragraph" w:customStyle="1" w:styleId="60">
    <w:name w:val="目录 21"/>
    <w:basedOn w:val="1"/>
    <w:next w:val="1"/>
    <w:qFormat/>
    <w:uiPriority w:val="39"/>
    <w:pPr>
      <w:ind w:left="420"/>
    </w:pPr>
  </w:style>
  <w:style w:type="character" w:customStyle="1" w:styleId="61">
    <w:name w:val="正文文本 2 字符"/>
    <w:link w:val="25"/>
    <w:qFormat/>
    <w:uiPriority w:val="0"/>
    <w:rPr>
      <w:b/>
      <w:bCs/>
      <w:spacing w:val="10"/>
      <w:kern w:val="2"/>
      <w:sz w:val="24"/>
    </w:rPr>
  </w:style>
  <w:style w:type="character" w:customStyle="1" w:styleId="62">
    <w:name w:val="标题 字符"/>
    <w:link w:val="27"/>
    <w:qFormat/>
    <w:uiPriority w:val="0"/>
    <w:rPr>
      <w:rFonts w:ascii="Arial" w:hAnsi="Arial" w:cs="Arial"/>
      <w:b/>
      <w:sz w:val="32"/>
    </w:rPr>
  </w:style>
  <w:style w:type="character" w:customStyle="1" w:styleId="63">
    <w:name w:val="无间隔 字符"/>
    <w:link w:val="64"/>
    <w:qFormat/>
    <w:uiPriority w:val="0"/>
    <w:rPr>
      <w:rFonts w:ascii="Calibri" w:hAnsi="Calibri"/>
      <w:kern w:val="2"/>
      <w:sz w:val="22"/>
      <w:lang w:val="en-US" w:eastAsia="zh-CN" w:bidi="ar-SA"/>
    </w:rPr>
  </w:style>
  <w:style w:type="paragraph" w:styleId="64">
    <w:name w:val="No Spacing"/>
    <w:link w:val="63"/>
    <w:qFormat/>
    <w:uiPriority w:val="0"/>
    <w:rPr>
      <w:rFonts w:ascii="Calibri" w:hAnsi="Calibri" w:eastAsia="宋体" w:cs="Times New Roman"/>
      <w:kern w:val="2"/>
      <w:sz w:val="22"/>
      <w:lang w:val="en-US" w:eastAsia="zh-CN" w:bidi="ar-SA"/>
    </w:rPr>
  </w:style>
  <w:style w:type="paragraph" w:customStyle="1" w:styleId="65">
    <w:name w:val="助手文本"/>
    <w:basedOn w:val="1"/>
    <w:qFormat/>
    <w:uiPriority w:val="0"/>
    <w:pPr>
      <w:autoSpaceDE w:val="0"/>
      <w:autoSpaceDN w:val="0"/>
      <w:adjustRightInd w:val="0"/>
      <w:spacing w:before="50" w:after="50" w:line="360" w:lineRule="auto"/>
      <w:ind w:left="14" w:firstLine="434"/>
      <w:textAlignment w:val="baseline"/>
    </w:pPr>
    <w:rPr>
      <w:rFonts w:ascii="楷体_GB2312" w:eastAsia="楷体_GB2312"/>
      <w:kern w:val="0"/>
      <w:sz w:val="24"/>
      <w:szCs w:val="20"/>
      <w:u w:val="single"/>
    </w:rPr>
  </w:style>
  <w:style w:type="paragraph" w:customStyle="1" w:styleId="66">
    <w:name w:val="列出段落1"/>
    <w:basedOn w:val="1"/>
    <w:qFormat/>
    <w:uiPriority w:val="0"/>
    <w:pPr>
      <w:ind w:firstLine="420"/>
    </w:pPr>
  </w:style>
  <w:style w:type="paragraph" w:customStyle="1" w:styleId="67">
    <w:name w:val="TOC 标题1"/>
    <w:basedOn w:val="2"/>
    <w:next w:val="1"/>
    <w:qFormat/>
    <w:uiPriority w:val="39"/>
    <w:pPr>
      <w:widowControl/>
      <w:spacing w:before="480" w:after="0" w:line="276" w:lineRule="auto"/>
      <w:outlineLvl w:val="9"/>
    </w:pPr>
    <w:rPr>
      <w:rFonts w:ascii="Cambria" w:hAnsi="Cambria"/>
      <w:color w:val="365F91"/>
      <w:kern w:val="0"/>
      <w:sz w:val="28"/>
    </w:rPr>
  </w:style>
  <w:style w:type="paragraph" w:customStyle="1" w:styleId="68">
    <w:name w:val="Indent Normal"/>
    <w:basedOn w:val="1"/>
    <w:qFormat/>
    <w:uiPriority w:val="0"/>
    <w:pPr>
      <w:ind w:firstLine="150"/>
    </w:pPr>
    <w:rPr>
      <w:sz w:val="24"/>
    </w:rPr>
  </w:style>
  <w:style w:type="character" w:customStyle="1" w:styleId="69">
    <w:name w:val="批注框文本 字符"/>
    <w:qFormat/>
    <w:uiPriority w:val="0"/>
    <w:rPr>
      <w:rFonts w:ascii="Calibri" w:hAnsi="Calibri" w:eastAsia="宋体" w:cs="Times New Roman"/>
      <w:kern w:val="2"/>
      <w:sz w:val="18"/>
      <w:szCs w:val="18"/>
    </w:rPr>
  </w:style>
  <w:style w:type="paragraph" w:styleId="70">
    <w:name w:val="List Paragraph"/>
    <w:basedOn w:val="1"/>
    <w:unhideWhenUsed/>
    <w:qFormat/>
    <w:uiPriority w:val="99"/>
    <w:pPr>
      <w:ind w:firstLine="420" w:firstLineChars="200"/>
    </w:pPr>
    <w:rPr>
      <w:rFonts w:asciiTheme="minorHAnsi" w:hAnsiTheme="minorHAnsi" w:eastAsiaTheme="minorEastAsia" w:cstheme="minorBid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gtig</Company>
  <Pages>10</Pages>
  <Words>4812</Words>
  <Characters>4979</Characters>
  <Lines>34</Lines>
  <Paragraphs>9</Paragraphs>
  <TotalTime>2</TotalTime>
  <ScaleCrop>false</ScaleCrop>
  <LinksUpToDate>false</LinksUpToDate>
  <CharactersWithSpaces>5254</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2024-11-29T07:39:00Z</dcterms:created>
  <dc:creator>沈武</dc:creator>
  <cp:lastModifiedBy>付</cp:lastModifiedBy>
  <cp:lastPrinted>2026-03-17T12:26:00Z</cp:lastPrinted>
  <dcterms:modified xsi:type="dcterms:W3CDTF">2026-03-27T10:41:02Z</dcterms:modified>
  <dc:titl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B4DF293863AD422D8BB2717D9A54762F_13</vt:lpwstr>
  </property>
  <property fmtid="{D5CDD505-2E9C-101B-9397-08002B2CF9AE}" pid="4" name="KSOTemplateDocerSaveRecord">
    <vt:lpwstr>eyJoZGlkIjoiMjc2NDY0ZTUxNTFhNzNkZWFjZDRlYzlhNjlhZjZjM2QiLCJ1c2VySWQiOiI1MTE2NDUzMDAifQ==</vt:lpwstr>
  </property>
</Properties>
</file>