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5CD07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工程量清单编制说明</w:t>
      </w:r>
    </w:p>
    <w:p w14:paraId="4800A515">
      <w:pPr>
        <w:bidi w:val="0"/>
        <w:rPr>
          <w:rFonts w:hint="eastAsia"/>
        </w:rPr>
      </w:pPr>
      <w:r>
        <w:rPr>
          <w:rFonts w:hint="eastAsia"/>
        </w:rPr>
        <w:t>1．工程量按照上海能源建设工程设计研究有限公司设计的0版施工图纸计算；</w:t>
      </w:r>
    </w:p>
    <w:p w14:paraId="604ED88A">
      <w:pPr>
        <w:bidi w:val="0"/>
        <w:rPr>
          <w:rFonts w:hint="eastAsia"/>
        </w:rPr>
      </w:pPr>
      <w:r>
        <w:rPr>
          <w:rFonts w:hint="eastAsia"/>
        </w:rPr>
        <w:t>2.工艺、自控、阴保、电气专业套用《石油建设项目工程量清单编制规则（2022版）》、《建设项目全费用工程量清单单价（2024版）》；总图和结构专业套用《建设工程工程量清单计价规范》（GB50500-2013）、《江西省房屋建筑与装饰工程消耗量定额及统一基价表》（2017版）、《江西省市政工程消耗量定额及统一基价表》（2017版）及配套费用定额；</w:t>
      </w:r>
    </w:p>
    <w:p w14:paraId="2A9F8D2F">
      <w:pPr>
        <w:bidi w:val="0"/>
        <w:rPr>
          <w:rFonts w:hint="eastAsia"/>
        </w:rPr>
      </w:pPr>
      <w:r>
        <w:rPr>
          <w:rFonts w:hint="eastAsia"/>
        </w:rPr>
        <w:t>3．增值税税率调整执行计划【2019】355号文；</w:t>
      </w:r>
    </w:p>
    <w:p w14:paraId="3A465743">
      <w:pPr>
        <w:bidi w:val="0"/>
        <w:rPr>
          <w:rFonts w:hint="eastAsia"/>
        </w:rPr>
      </w:pPr>
      <w:r>
        <w:rPr>
          <w:rFonts w:hint="eastAsia"/>
        </w:rPr>
        <w:t>4．土建工程综合工日单价调差执行赣建价[2018]5号文；</w:t>
      </w:r>
    </w:p>
    <w:p w14:paraId="4E0A08EE">
      <w:pPr>
        <w:bidi w:val="0"/>
        <w:rPr>
          <w:rFonts w:hint="eastAsia"/>
        </w:rPr>
      </w:pPr>
      <w:r>
        <w:rPr>
          <w:rFonts w:hint="eastAsia"/>
        </w:rPr>
        <w:t>5. 混凝土按商品碎石混凝土考虑；</w:t>
      </w:r>
    </w:p>
    <w:p w14:paraId="6DFE259D">
      <w:pPr>
        <w:bidi w:val="0"/>
        <w:rPr>
          <w:rFonts w:hint="eastAsia"/>
        </w:rPr>
      </w:pPr>
      <w:r>
        <w:rPr>
          <w:rFonts w:hint="eastAsia"/>
        </w:rPr>
        <w:t>6. 土方外运暂按10KM考虑，结算按实际发生计算；</w:t>
      </w:r>
      <w:bookmarkStart w:id="0" w:name="_GoBack"/>
      <w:bookmarkEnd w:id="0"/>
    </w:p>
    <w:p w14:paraId="72C788CD">
      <w:pPr>
        <w:bidi w:val="0"/>
        <w:rPr>
          <w:rFonts w:hint="eastAsia"/>
        </w:rPr>
      </w:pPr>
      <w:r>
        <w:rPr>
          <w:rFonts w:hint="eastAsia"/>
        </w:rPr>
        <w:t>7. 灌注桩按泥浆护壁成孔考虑；</w:t>
      </w:r>
    </w:p>
    <w:p w14:paraId="6E00613E">
      <w:pPr>
        <w:bidi w:val="0"/>
        <w:rPr>
          <w:rFonts w:hint="eastAsia"/>
        </w:rPr>
      </w:pPr>
      <w:r>
        <w:rPr>
          <w:rFonts w:hint="eastAsia"/>
        </w:rPr>
        <w:t>8. 打拔钢板桩措施暂按概算工程量计算，结算按实调整；</w:t>
      </w:r>
    </w:p>
    <w:p w14:paraId="2A399BDC">
      <w:pPr>
        <w:bidi w:val="0"/>
      </w:pPr>
      <w:r>
        <w:rPr>
          <w:rFonts w:hint="eastAsia"/>
        </w:rPr>
        <w:t>9. 施工机械进场对地面道板的破坏及恢复暂按250m2计算，结算据实调整。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C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2026-03-17T02:36:32Z</dcterms:created>
  <dc:creator>PC</dc:creator>
  <cp:lastModifiedBy>PC</cp:lastModifiedBy>
  <dcterms:modified xsi:type="dcterms:W3CDTF">2026-03-17T02:37:26Z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eyJoZGlkIjoiYzNjMmFiYjAwMzk2ZDI5MmVmNTJhYmQzY2M5YmQ1ZjIiLCJ1c2VySWQiOiIxNDA5MTA1NDk1In0=</vt:lpwstr>
  </property>
  <property fmtid="{D5CDD505-2E9C-101B-9397-08002B2CF9AE}" pid="4" name="ICV">
    <vt:lpwstr>1E4C0DC0BFFF475294396B329FDF867A_12</vt:lpwstr>
  </property>
</Properties>
</file>