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B9934"/>
    <w:p w14:paraId="293338C5"/>
    <w:tbl>
      <w:tblPr>
        <w:tblStyle w:val="6"/>
        <w:tblW w:w="100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085"/>
        <w:gridCol w:w="28"/>
        <w:gridCol w:w="397"/>
        <w:gridCol w:w="426"/>
        <w:gridCol w:w="4477"/>
        <w:gridCol w:w="1218"/>
        <w:gridCol w:w="1313"/>
      </w:tblGrid>
      <w:tr w14:paraId="2F76C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34" w:type="dxa"/>
            <w:gridSpan w:val="9"/>
            <w:tcBorders>
              <w:top w:val="single" w:color="auto" w:sz="4" w:space="0"/>
              <w:left w:val="single" w:color="auto" w:sz="4" w:space="0"/>
              <w:right w:val="single" w:color="auto" w:sz="4" w:space="0"/>
            </w:tcBorders>
            <w:noWrap w:val="0"/>
            <w:vAlign w:val="center"/>
          </w:tcPr>
          <w:p w14:paraId="3020A749">
            <w:pPr>
              <w:spacing w:line="500" w:lineRule="exact"/>
              <w:jc w:val="center"/>
              <w:rPr>
                <w:rFonts w:ascii="宋体" w:hAnsi="宋体" w:cs="宋体"/>
                <w:b/>
                <w:sz w:val="30"/>
                <w:szCs w:val="30"/>
              </w:rPr>
            </w:pPr>
            <w:r>
              <w:rPr>
                <w:rFonts w:hint="eastAsia" w:ascii="宋体" w:hAnsi="宋体" w:cs="Arial"/>
                <w:b/>
                <w:sz w:val="30"/>
                <w:szCs w:val="30"/>
              </w:rPr>
              <w:t>服务需求一览表</w:t>
            </w:r>
          </w:p>
        </w:tc>
      </w:tr>
      <w:tr w14:paraId="1A538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203" w:type="dxa"/>
            <w:gridSpan w:val="4"/>
            <w:tcBorders>
              <w:top w:val="single" w:color="auto" w:sz="4" w:space="0"/>
              <w:left w:val="single" w:color="auto" w:sz="4" w:space="0"/>
              <w:right w:val="single" w:color="auto" w:sz="4" w:space="0"/>
            </w:tcBorders>
            <w:noWrap w:val="0"/>
            <w:vAlign w:val="center"/>
          </w:tcPr>
          <w:p w14:paraId="7FAFB109">
            <w:pPr>
              <w:spacing w:line="500" w:lineRule="exact"/>
              <w:jc w:val="center"/>
              <w:rPr>
                <w:rFonts w:ascii="宋体" w:hAnsi="宋体"/>
                <w:szCs w:val="21"/>
              </w:rPr>
            </w:pPr>
            <w:r>
              <w:rPr>
                <w:rFonts w:hint="eastAsia" w:ascii="宋体" w:hAnsi="宋体"/>
                <w:szCs w:val="21"/>
              </w:rPr>
              <w:t>标段</w:t>
            </w:r>
          </w:p>
        </w:tc>
        <w:tc>
          <w:tcPr>
            <w:tcW w:w="7831" w:type="dxa"/>
            <w:gridSpan w:val="5"/>
            <w:tcBorders>
              <w:top w:val="single" w:color="auto" w:sz="4" w:space="0"/>
              <w:left w:val="single" w:color="auto" w:sz="4" w:space="0"/>
              <w:right w:val="single" w:color="auto" w:sz="4" w:space="0"/>
            </w:tcBorders>
            <w:noWrap w:val="0"/>
            <w:vAlign w:val="center"/>
          </w:tcPr>
          <w:p w14:paraId="0BB5D889">
            <w:pPr>
              <w:spacing w:line="500" w:lineRule="exact"/>
              <w:jc w:val="left"/>
              <w:rPr>
                <w:rFonts w:ascii="宋体" w:hAnsi="宋体"/>
                <w:szCs w:val="21"/>
              </w:rPr>
            </w:pPr>
            <w:r>
              <w:rPr>
                <w:rFonts w:hint="eastAsia" w:ascii="宋体" w:hAnsi="宋体"/>
                <w:szCs w:val="21"/>
                <w:u w:val="single"/>
              </w:rPr>
              <w:t>\</w:t>
            </w:r>
            <w:r>
              <w:rPr>
                <w:rFonts w:hint="eastAsia" w:ascii="宋体" w:hAnsi="宋体"/>
                <w:szCs w:val="21"/>
              </w:rPr>
              <w:t>分标</w:t>
            </w:r>
          </w:p>
        </w:tc>
      </w:tr>
      <w:tr w14:paraId="37CDB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57A8B58">
            <w:pPr>
              <w:spacing w:line="500" w:lineRule="exact"/>
              <w:jc w:val="center"/>
              <w:rPr>
                <w:rFonts w:ascii="宋体" w:hAnsi="宋体"/>
                <w:szCs w:val="21"/>
              </w:rPr>
            </w:pPr>
            <w:r>
              <w:rPr>
                <w:rFonts w:hint="eastAsia" w:ascii="宋体" w:hAnsi="宋体"/>
                <w:szCs w:val="21"/>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25B59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Cs w:val="21"/>
              </w:rPr>
            </w:pPr>
            <w:r>
              <w:rPr>
                <w:rFonts w:hint="eastAsia" w:ascii="宋体" w:hAnsi="宋体"/>
                <w:szCs w:val="21"/>
              </w:rPr>
              <w:t>序号</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6616A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Cs w:val="21"/>
              </w:rPr>
            </w:pPr>
            <w:r>
              <w:rPr>
                <w:rFonts w:hint="eastAsia" w:ascii="宋体" w:hAnsi="宋体"/>
                <w:szCs w:val="21"/>
              </w:rPr>
              <w:t>标的的名称</w:t>
            </w: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4FB123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Cs w:val="21"/>
              </w:rPr>
            </w:pPr>
            <w:r>
              <w:rPr>
                <w:rFonts w:hint="eastAsia" w:ascii="宋体" w:hAnsi="宋体"/>
                <w:szCs w:val="21"/>
              </w:rPr>
              <w:t>单位</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C815B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Cs w:val="21"/>
              </w:rPr>
            </w:pPr>
            <w:r>
              <w:rPr>
                <w:rFonts w:hint="eastAsia" w:ascii="宋体" w:hAnsi="宋体"/>
                <w:szCs w:val="21"/>
              </w:rPr>
              <w:t>数量</w:t>
            </w:r>
          </w:p>
        </w:tc>
        <w:tc>
          <w:tcPr>
            <w:tcW w:w="4477" w:type="dxa"/>
            <w:tcBorders>
              <w:top w:val="single" w:color="auto" w:sz="4" w:space="0"/>
              <w:left w:val="single" w:color="auto" w:sz="4" w:space="0"/>
              <w:bottom w:val="single" w:color="auto" w:sz="4" w:space="0"/>
              <w:right w:val="single" w:color="auto" w:sz="4" w:space="0"/>
            </w:tcBorders>
            <w:noWrap w:val="0"/>
            <w:vAlign w:val="center"/>
          </w:tcPr>
          <w:p w14:paraId="1FF140C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Cs w:val="21"/>
              </w:rPr>
            </w:pPr>
            <w:r>
              <w:rPr>
                <w:rFonts w:hint="eastAsia" w:ascii="宋体" w:hAnsi="宋体" w:cs="宋体"/>
                <w:szCs w:val="21"/>
              </w:rPr>
              <w:t>工程概况及采购范围</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DE2EB2A">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szCs w:val="21"/>
              </w:rPr>
            </w:pPr>
            <w:r>
              <w:rPr>
                <w:rFonts w:hint="eastAsia" w:ascii="宋体" w:hAnsi="宋体"/>
                <w:szCs w:val="21"/>
              </w:rPr>
              <w:t>分项最高限价合计（元）</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ED17B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szCs w:val="21"/>
              </w:rPr>
            </w:pPr>
            <w:r>
              <w:rPr>
                <w:rFonts w:hint="eastAsia" w:ascii="宋体" w:hAnsi="宋体"/>
                <w:szCs w:val="21"/>
              </w:rPr>
              <w:t>中小企业划分标准所属行业名称</w:t>
            </w:r>
          </w:p>
        </w:tc>
      </w:tr>
      <w:tr w14:paraId="2EDA7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2990EAE">
            <w:pPr>
              <w:spacing w:line="500" w:lineRule="exact"/>
              <w:jc w:val="center"/>
              <w:rPr>
                <w:rFonts w:ascii="宋体" w:hAnsi="宋体"/>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00DDFCEF">
            <w:pPr>
              <w:spacing w:line="500" w:lineRule="exact"/>
              <w:jc w:val="center"/>
              <w:rPr>
                <w:rFonts w:ascii="宋体" w:hAnsi="宋体" w:cs="宋体"/>
                <w:szCs w:val="21"/>
              </w:rPr>
            </w:pPr>
            <w:r>
              <w:rPr>
                <w:rFonts w:hint="eastAsia" w:ascii="宋体" w:hAnsi="宋体" w:cs="宋体"/>
                <w:szCs w:val="21"/>
              </w:rPr>
              <w:t>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87CDF8C">
            <w:pPr>
              <w:spacing w:line="500" w:lineRule="exact"/>
              <w:jc w:val="center"/>
              <w:rPr>
                <w:rFonts w:hint="eastAsia" w:ascii="宋体" w:hAnsi="宋体" w:cs="宋体"/>
                <w:szCs w:val="21"/>
              </w:rPr>
            </w:pPr>
            <w:r>
              <w:rPr>
                <w:rFonts w:hint="eastAsia" w:ascii="宋体" w:hAnsi="宋体"/>
                <w:szCs w:val="21"/>
                <w:lang w:val="en-US" w:eastAsia="zh-CN"/>
              </w:rPr>
              <w:t>老年医学科</w:t>
            </w:r>
            <w:r>
              <w:rPr>
                <w:rFonts w:hint="eastAsia" w:ascii="宋体" w:hAnsi="宋体"/>
                <w:szCs w:val="21"/>
              </w:rPr>
              <w:t>中央监护</w:t>
            </w:r>
            <w:r>
              <w:rPr>
                <w:rFonts w:hint="eastAsia" w:ascii="宋体" w:hAnsi="宋体"/>
                <w:szCs w:val="21"/>
                <w:lang w:val="en-US" w:eastAsia="zh-CN"/>
              </w:rPr>
              <w:t>站系统</w:t>
            </w:r>
            <w:r>
              <w:rPr>
                <w:rFonts w:hint="eastAsia" w:ascii="宋体" w:hAnsi="宋体"/>
                <w:szCs w:val="21"/>
              </w:rPr>
              <w:t>网络布线工程</w:t>
            </w: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7EAB5894">
            <w:pPr>
              <w:spacing w:line="500" w:lineRule="exact"/>
              <w:jc w:val="center"/>
              <w:rPr>
                <w:rFonts w:ascii="宋体" w:hAnsi="宋体" w:cs="宋体"/>
                <w:szCs w:val="21"/>
              </w:rPr>
            </w:pPr>
            <w:r>
              <w:rPr>
                <w:rFonts w:hint="eastAsia" w:ascii="宋体" w:hAnsi="宋体" w:cs="宋体"/>
                <w:szCs w:val="21"/>
              </w:rPr>
              <w:t>项</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522B02E2">
            <w:pPr>
              <w:spacing w:line="500" w:lineRule="exact"/>
              <w:jc w:val="center"/>
              <w:rPr>
                <w:rFonts w:hint="eastAsia" w:ascii="宋体" w:hAnsi="宋体" w:cs="宋体"/>
                <w:szCs w:val="21"/>
              </w:rPr>
            </w:pPr>
            <w:r>
              <w:rPr>
                <w:rFonts w:hint="eastAsia" w:ascii="宋体" w:hAnsi="宋体" w:cs="宋体"/>
                <w:szCs w:val="21"/>
              </w:rPr>
              <w:t>1</w:t>
            </w:r>
          </w:p>
        </w:tc>
        <w:tc>
          <w:tcPr>
            <w:tcW w:w="4477" w:type="dxa"/>
            <w:tcBorders>
              <w:top w:val="single" w:color="auto" w:sz="4" w:space="0"/>
              <w:left w:val="single" w:color="auto" w:sz="4" w:space="0"/>
              <w:bottom w:val="single" w:color="auto" w:sz="4" w:space="0"/>
              <w:right w:val="single" w:color="auto" w:sz="4" w:space="0"/>
            </w:tcBorders>
            <w:noWrap w:val="0"/>
            <w:vAlign w:val="center"/>
          </w:tcPr>
          <w:p w14:paraId="750BE0F2">
            <w:pPr>
              <w:pStyle w:val="5"/>
              <w:widowControl/>
              <w:rPr>
                <w:rFonts w:ascii="宋体" w:hAnsi="宋体" w:cs="宋体"/>
                <w:kern w:val="2"/>
                <w:sz w:val="21"/>
                <w:szCs w:val="21"/>
              </w:rPr>
            </w:pPr>
            <w:r>
              <w:rPr>
                <w:rFonts w:hint="eastAsia" w:ascii="宋体" w:hAnsi="宋体" w:cs="宋体"/>
                <w:kern w:val="2"/>
                <w:sz w:val="21"/>
                <w:szCs w:val="21"/>
              </w:rPr>
              <w:t>建设规模及主要建设内容：</w:t>
            </w:r>
          </w:p>
          <w:p w14:paraId="54B74FBB">
            <w:pPr>
              <w:pStyle w:val="5"/>
              <w:widowControl/>
              <w:ind w:firstLine="420" w:firstLineChars="200"/>
              <w:rPr>
                <w:rFonts w:ascii="宋体" w:hAnsi="宋体"/>
                <w:sz w:val="21"/>
                <w:szCs w:val="21"/>
              </w:rPr>
            </w:pPr>
            <w:r>
              <w:rPr>
                <w:rFonts w:hint="eastAsia" w:ascii="宋体" w:hAnsi="宋体"/>
                <w:sz w:val="21"/>
                <w:szCs w:val="21"/>
              </w:rPr>
              <w:t>为</w:t>
            </w:r>
            <w:r>
              <w:rPr>
                <w:rFonts w:hint="eastAsia" w:ascii="宋体" w:hAnsi="宋体"/>
                <w:sz w:val="21"/>
                <w:szCs w:val="21"/>
                <w:lang w:val="en-US" w:eastAsia="zh-CN"/>
              </w:rPr>
              <w:t>江滨医院神经内科楼</w:t>
            </w:r>
            <w:bookmarkStart w:id="0" w:name="_GoBack"/>
            <w:bookmarkEnd w:id="0"/>
            <w:r>
              <w:rPr>
                <w:rFonts w:hint="eastAsia" w:ascii="宋体" w:hAnsi="宋体"/>
                <w:sz w:val="21"/>
                <w:szCs w:val="21"/>
                <w:lang w:val="en-US" w:eastAsia="zh-CN"/>
              </w:rPr>
              <w:t>六楼、七楼（老年医学科）中央监护系统网络布线</w:t>
            </w:r>
            <w:r>
              <w:rPr>
                <w:rFonts w:hint="eastAsia" w:ascii="宋体" w:hAnsi="宋体"/>
                <w:sz w:val="21"/>
                <w:szCs w:val="21"/>
              </w:rPr>
              <w:t>（详见图纸及工程量清单）</w:t>
            </w:r>
          </w:p>
          <w:p w14:paraId="2BC3CB32">
            <w:pPr>
              <w:pStyle w:val="5"/>
              <w:widowControl/>
              <w:tabs>
                <w:tab w:val="center" w:pos="4153"/>
                <w:tab w:val="right" w:pos="8306"/>
              </w:tabs>
              <w:snapToGrid w:val="0"/>
              <w:spacing w:line="276" w:lineRule="auto"/>
              <w:jc w:val="left"/>
              <w:rPr>
                <w:rFonts w:ascii="宋体" w:hAnsi="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B20B893">
            <w:pPr>
              <w:spacing w:line="500" w:lineRule="exact"/>
              <w:rPr>
                <w:rFonts w:ascii="宋体" w:hAnsi="宋体"/>
                <w:szCs w:val="21"/>
              </w:rPr>
            </w:pPr>
            <w:r>
              <w:rPr>
                <w:rFonts w:hint="eastAsia" w:ascii="宋体" w:hAnsi="宋体"/>
                <w:szCs w:val="21"/>
                <w:lang w:val="en-US" w:eastAsia="zh-CN"/>
              </w:rPr>
              <w:t>25544</w:t>
            </w:r>
            <w:r>
              <w:rPr>
                <w:rFonts w:hint="eastAsia" w:ascii="宋体" w:hAnsi="宋体"/>
                <w:szCs w:val="21"/>
              </w:rPr>
              <w:t xml:space="preserve">元 </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2DA182B">
            <w:pPr>
              <w:spacing w:line="500" w:lineRule="exact"/>
              <w:jc w:val="center"/>
              <w:rPr>
                <w:rFonts w:ascii="宋体" w:hAnsi="宋体"/>
                <w:szCs w:val="21"/>
              </w:rPr>
            </w:pPr>
            <w:r>
              <w:rPr>
                <w:rFonts w:hint="eastAsia" w:ascii="宋体" w:hAnsi="宋体" w:cs="宋体"/>
                <w:szCs w:val="21"/>
              </w:rPr>
              <w:t>建筑业</w:t>
            </w:r>
          </w:p>
        </w:tc>
      </w:tr>
    </w:tbl>
    <w:p w14:paraId="220AC03D"/>
    <w:p w14:paraId="72F7E540">
      <w:pPr>
        <w:pStyle w:val="2"/>
      </w:pPr>
    </w:p>
    <w:tbl>
      <w:tblPr>
        <w:tblStyle w:val="6"/>
        <w:tblW w:w="10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5"/>
        <w:gridCol w:w="7466"/>
      </w:tblGrid>
      <w:tr w14:paraId="74568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181" w:type="dxa"/>
            <w:gridSpan w:val="2"/>
            <w:tcBorders>
              <w:top w:val="single" w:color="auto" w:sz="4" w:space="0"/>
              <w:left w:val="single" w:color="auto" w:sz="4" w:space="0"/>
              <w:bottom w:val="single" w:color="auto" w:sz="4" w:space="0"/>
              <w:right w:val="single" w:color="auto" w:sz="4" w:space="0"/>
            </w:tcBorders>
            <w:noWrap w:val="0"/>
            <w:vAlign w:val="center"/>
          </w:tcPr>
          <w:p w14:paraId="545EE34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▲二、商务要求</w:t>
            </w:r>
          </w:p>
        </w:tc>
      </w:tr>
      <w:tr w14:paraId="0D784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3643CF2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竞标报价</w:t>
            </w:r>
          </w:p>
        </w:tc>
        <w:tc>
          <w:tcPr>
            <w:tcW w:w="7466" w:type="dxa"/>
            <w:tcBorders>
              <w:top w:val="single" w:color="auto" w:sz="4" w:space="0"/>
              <w:left w:val="single" w:color="auto" w:sz="4" w:space="0"/>
              <w:bottom w:val="single" w:color="auto" w:sz="4" w:space="0"/>
              <w:right w:val="single" w:color="auto" w:sz="4" w:space="0"/>
            </w:tcBorders>
            <w:noWrap w:val="0"/>
            <w:vAlign w:val="top"/>
          </w:tcPr>
          <w:p w14:paraId="4E2181BD">
            <w:pPr>
              <w:snapToGrid w:val="0"/>
              <w:spacing w:line="360" w:lineRule="exact"/>
              <w:jc w:val="left"/>
              <w:rPr>
                <w:rFonts w:hint="eastAsia" w:ascii="宋体" w:hAnsi="宋体"/>
                <w:bCs/>
                <w:color w:val="auto"/>
                <w:szCs w:val="21"/>
                <w:highlight w:val="none"/>
              </w:rPr>
            </w:pPr>
            <w:r>
              <w:rPr>
                <w:rFonts w:hint="eastAsia" w:ascii="宋体" w:hAnsi="宋体"/>
                <w:color w:val="auto"/>
                <w:szCs w:val="22"/>
                <w:highlight w:val="none"/>
              </w:rPr>
              <w:t>竞标报价</w:t>
            </w:r>
            <w:r>
              <w:rPr>
                <w:rFonts w:hint="eastAsia" w:ascii="宋体" w:hAnsi="宋体"/>
                <w:bCs/>
                <w:color w:val="auto"/>
                <w:szCs w:val="21"/>
                <w:highlight w:val="none"/>
              </w:rPr>
              <w:t>是履行合同的最终价格，包括</w:t>
            </w:r>
            <w:r>
              <w:rPr>
                <w:rFonts w:hint="eastAsia" w:ascii="宋体" w:hAnsi="宋体"/>
                <w:bCs/>
                <w:color w:val="auto"/>
                <w:szCs w:val="21"/>
                <w:highlight w:val="none"/>
                <w:lang w:val="en-US" w:eastAsia="zh-CN"/>
              </w:rPr>
              <w:t>但不限于以下</w:t>
            </w:r>
            <w:r>
              <w:rPr>
                <w:rFonts w:hint="eastAsia" w:ascii="宋体" w:hAnsi="宋体"/>
                <w:bCs/>
                <w:color w:val="auto"/>
                <w:szCs w:val="21"/>
                <w:highlight w:val="none"/>
              </w:rPr>
              <w:t>：</w:t>
            </w:r>
          </w:p>
          <w:p w14:paraId="7EC540DE">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（1）</w:t>
            </w:r>
            <w:r>
              <w:rPr>
                <w:rFonts w:ascii="宋体" w:hAnsi="宋体" w:cs="宋体"/>
                <w:bCs/>
                <w:color w:val="auto"/>
                <w:highlight w:val="none"/>
              </w:rPr>
              <w:t>货物</w:t>
            </w:r>
            <w:r>
              <w:rPr>
                <w:rFonts w:hint="eastAsia" w:ascii="宋体" w:hAnsi="宋体"/>
                <w:bCs/>
                <w:color w:val="auto"/>
                <w:szCs w:val="21"/>
                <w:highlight w:val="none"/>
              </w:rPr>
              <w:t>软硬设备及标准附件、备品备件、专用工具的价格、送货上门的费用；</w:t>
            </w:r>
          </w:p>
          <w:p w14:paraId="526B6F6D">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（2）运输、装卸、</w:t>
            </w:r>
            <w:r>
              <w:rPr>
                <w:rFonts w:hint="eastAsia" w:ascii="宋体" w:hAnsi="宋体"/>
                <w:bCs/>
                <w:color w:val="auto"/>
                <w:szCs w:val="21"/>
                <w:highlight w:val="none"/>
                <w:lang w:val="en-US" w:eastAsia="zh-CN"/>
              </w:rPr>
              <w:t>网络网线敷设、网线连通测试、</w:t>
            </w:r>
            <w:r>
              <w:rPr>
                <w:rFonts w:hint="eastAsia" w:ascii="宋体" w:hAnsi="宋体"/>
                <w:bCs/>
                <w:color w:val="auto"/>
                <w:szCs w:val="21"/>
                <w:highlight w:val="none"/>
              </w:rPr>
              <w:t>调试、培训（含资料费、场地租用费）、技术支持、售后服务等费用；</w:t>
            </w:r>
          </w:p>
          <w:p w14:paraId="666AE12F">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（3）必要的保险费用和各项税费；</w:t>
            </w:r>
          </w:p>
          <w:p w14:paraId="1B68DC91">
            <w:pPr>
              <w:snapToGrid w:val="0"/>
              <w:spacing w:line="300" w:lineRule="atLeast"/>
              <w:jc w:val="left"/>
              <w:rPr>
                <w:rFonts w:hint="eastAsia" w:ascii="宋体" w:hAnsi="宋体"/>
                <w:bCs/>
                <w:color w:val="auto"/>
                <w:szCs w:val="21"/>
                <w:highlight w:val="none"/>
              </w:rPr>
            </w:pPr>
            <w:r>
              <w:rPr>
                <w:rFonts w:hint="eastAsia" w:ascii="宋体" w:hAnsi="宋体"/>
                <w:bCs/>
                <w:color w:val="auto"/>
                <w:szCs w:val="21"/>
                <w:highlight w:val="none"/>
              </w:rPr>
              <w:t>（4）安装费用、安装后的现场垃圾清理；</w:t>
            </w:r>
            <w:r>
              <w:rPr>
                <w:rFonts w:hint="eastAsia" w:ascii="宋体" w:hAnsi="宋体" w:cs="宋体"/>
                <w:bCs/>
                <w:color w:val="auto"/>
                <w:szCs w:val="21"/>
                <w:highlight w:val="none"/>
              </w:rPr>
              <w:t>安装所需各类手续办理及与各个管理部门之间协调安装产生的费用；</w:t>
            </w:r>
            <w:r>
              <w:rPr>
                <w:rFonts w:hint="eastAsia" w:ascii="宋体" w:hAnsi="宋体"/>
                <w:bCs/>
                <w:color w:val="auto"/>
                <w:szCs w:val="21"/>
                <w:highlight w:val="none"/>
              </w:rPr>
              <w:t xml:space="preserve"> </w:t>
            </w:r>
          </w:p>
          <w:p w14:paraId="64B4731F">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（5）到现场验收的费用；</w:t>
            </w:r>
          </w:p>
          <w:p w14:paraId="6C882B10">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（6）设备、平台按规定需要第三方检测公司检测的费用；（如有）</w:t>
            </w:r>
          </w:p>
          <w:p w14:paraId="3A6CECB8">
            <w:pPr>
              <w:snapToGrid w:val="0"/>
              <w:spacing w:line="360" w:lineRule="exact"/>
              <w:jc w:val="left"/>
              <w:rPr>
                <w:rFonts w:hint="eastAsia" w:ascii="宋体" w:hAnsi="宋体"/>
                <w:color w:val="auto"/>
                <w:szCs w:val="22"/>
                <w:highlight w:val="none"/>
              </w:rPr>
            </w:pPr>
            <w:r>
              <w:rPr>
                <w:rFonts w:hint="eastAsia" w:ascii="宋体" w:hAnsi="宋体"/>
                <w:bCs/>
                <w:color w:val="auto"/>
                <w:szCs w:val="21"/>
                <w:highlight w:val="none"/>
              </w:rPr>
              <w:t>（7）平台接入系统产生的所有费用。（如有）</w:t>
            </w:r>
          </w:p>
        </w:tc>
      </w:tr>
      <w:tr w14:paraId="6B48E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1B0CB386">
            <w:pPr>
              <w:spacing w:line="360" w:lineRule="exact"/>
              <w:jc w:val="center"/>
              <w:rPr>
                <w:rFonts w:ascii="宋体" w:hAnsi="宋体" w:cs="宋体"/>
                <w:color w:val="auto"/>
                <w:szCs w:val="21"/>
                <w:highlight w:val="none"/>
              </w:rPr>
            </w:pPr>
            <w:r>
              <w:rPr>
                <w:rFonts w:hint="eastAsia" w:ascii="宋体" w:hAnsi="宋体"/>
                <w:color w:val="auto"/>
                <w:szCs w:val="21"/>
                <w:highlight w:val="none"/>
              </w:rPr>
              <w:t>交付使用</w:t>
            </w:r>
            <w:r>
              <w:rPr>
                <w:rFonts w:hint="eastAsia" w:ascii="宋体" w:hAnsi="宋体" w:cs="宋体"/>
                <w:color w:val="auto"/>
                <w:szCs w:val="21"/>
                <w:highlight w:val="none"/>
              </w:rPr>
              <w:t>时间及地点</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08EBF0C2">
            <w:pPr>
              <w:spacing w:line="360" w:lineRule="exact"/>
              <w:rPr>
                <w:rFonts w:ascii="宋体" w:hAnsi="宋体" w:cs="宋体"/>
                <w:color w:val="auto"/>
                <w:szCs w:val="21"/>
                <w:highlight w:val="none"/>
              </w:rPr>
            </w:pPr>
            <w:r>
              <w:rPr>
                <w:rFonts w:hint="eastAsia" w:ascii="宋体" w:hAnsi="宋体"/>
                <w:color w:val="auto"/>
                <w:szCs w:val="21"/>
                <w:highlight w:val="none"/>
              </w:rPr>
              <w:t>1.交付使用</w:t>
            </w:r>
            <w:r>
              <w:rPr>
                <w:rFonts w:hint="eastAsia" w:ascii="宋体" w:hAnsi="宋体" w:cs="宋体"/>
                <w:color w:val="auto"/>
                <w:szCs w:val="21"/>
                <w:highlight w:val="none"/>
              </w:rPr>
              <w:t>时间：</w:t>
            </w:r>
            <w:r>
              <w:rPr>
                <w:rFonts w:hint="eastAsia" w:ascii="宋体" w:hAnsi="宋体" w:cs="宋体"/>
                <w:bCs/>
                <w:color w:val="auto"/>
                <w:szCs w:val="21"/>
                <w:highlight w:val="none"/>
              </w:rPr>
              <w:t>自签订合同之日起</w:t>
            </w:r>
            <w:r>
              <w:rPr>
                <w:rFonts w:ascii="宋体" w:hAnsi="宋体" w:cs="宋体"/>
                <w:bCs/>
                <w:color w:val="auto"/>
                <w:szCs w:val="21"/>
                <w:highlight w:val="none"/>
              </w:rPr>
              <w:t>30</w:t>
            </w:r>
            <w:r>
              <w:rPr>
                <w:rFonts w:hint="eastAsia" w:ascii="宋体" w:hAnsi="宋体" w:cs="宋体"/>
                <w:bCs/>
                <w:color w:val="auto"/>
                <w:szCs w:val="21"/>
                <w:highlight w:val="none"/>
              </w:rPr>
              <w:t>日(日历日)内，</w:t>
            </w:r>
            <w:r>
              <w:rPr>
                <w:rFonts w:hint="eastAsia" w:ascii="宋体" w:hAnsi="宋体" w:cs="宋体"/>
                <w:bCs/>
                <w:color w:val="auto"/>
                <w:szCs w:val="21"/>
                <w:highlight w:val="none"/>
                <w:lang w:val="en-US" w:eastAsia="zh-CN"/>
              </w:rPr>
              <w:t>完成安装</w:t>
            </w:r>
            <w:r>
              <w:rPr>
                <w:rFonts w:hint="eastAsia" w:ascii="宋体" w:hAnsi="宋体" w:cs="宋体"/>
                <w:bCs/>
                <w:color w:val="auto"/>
                <w:szCs w:val="21"/>
                <w:highlight w:val="none"/>
              </w:rPr>
              <w:t>通过验收并交付使用。</w:t>
            </w:r>
          </w:p>
          <w:p w14:paraId="10436A0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2.服务地点：</w:t>
            </w:r>
            <w:r>
              <w:rPr>
                <w:rFonts w:hint="eastAsia" w:ascii="宋体" w:hAnsi="宋体"/>
                <w:color w:val="auto"/>
                <w:szCs w:val="21"/>
                <w:highlight w:val="none"/>
              </w:rPr>
              <w:t>防城港市防城区粮食储备中心内采购人指定地点。</w:t>
            </w:r>
          </w:p>
        </w:tc>
      </w:tr>
      <w:tr w14:paraId="47A96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4794B6A3">
            <w:pPr>
              <w:spacing w:line="360" w:lineRule="exact"/>
              <w:jc w:val="center"/>
              <w:rPr>
                <w:rFonts w:ascii="宋体" w:hAnsi="宋体"/>
                <w:color w:val="auto"/>
                <w:szCs w:val="21"/>
                <w:highlight w:val="none"/>
              </w:rPr>
            </w:pPr>
            <w:r>
              <w:rPr>
                <w:rFonts w:hint="eastAsia" w:ascii="宋体" w:hAnsi="宋体"/>
                <w:color w:val="auto"/>
                <w:szCs w:val="21"/>
                <w:highlight w:val="none"/>
              </w:rPr>
              <w:t>合同签订时间</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066A0AAE">
            <w:pPr>
              <w:spacing w:line="360" w:lineRule="exact"/>
              <w:rPr>
                <w:rFonts w:ascii="宋体" w:hAnsi="宋体"/>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rPr>
              <w:t>25</w:t>
            </w:r>
            <w:r>
              <w:rPr>
                <w:rFonts w:hint="eastAsia" w:ascii="宋体" w:hAnsi="宋体"/>
                <w:color w:val="auto"/>
                <w:szCs w:val="21"/>
                <w:highlight w:val="none"/>
              </w:rPr>
              <w:t>日内。</w:t>
            </w:r>
          </w:p>
        </w:tc>
      </w:tr>
      <w:tr w14:paraId="7370F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34FC2DDC">
            <w:pPr>
              <w:spacing w:line="36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1AE9D265">
            <w:pPr>
              <w:spacing w:line="360" w:lineRule="exact"/>
              <w:rPr>
                <w:rFonts w:hint="eastAsia" w:ascii="宋体" w:hAnsi="宋体" w:cs="宋体"/>
                <w:bCs/>
                <w:color w:val="auto"/>
                <w:szCs w:val="21"/>
                <w:highlight w:val="none"/>
              </w:rPr>
            </w:pPr>
            <w:r>
              <w:rPr>
                <w:rFonts w:hint="eastAsia" w:ascii="宋体" w:hAnsi="宋体" w:cs="宋体"/>
                <w:szCs w:val="21"/>
                <w:lang w:val="zh-CN"/>
              </w:rPr>
              <w:t>工程预付款的支付比例为签订合同价（扣除暂列金额）的10%；进度款支付方式按合同条款要求执行。（按《南宁市财政局关于调整南宁市本级政府投资项目工程款支付比例有关问题的通知》（南财资金[2021]201号）的要求执行）。</w:t>
            </w:r>
          </w:p>
        </w:tc>
      </w:tr>
      <w:tr w14:paraId="4E322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7EB14297">
            <w:pPr>
              <w:spacing w:line="360" w:lineRule="exact"/>
              <w:jc w:val="center"/>
              <w:rPr>
                <w:rFonts w:ascii="宋体" w:hAnsi="宋体"/>
                <w:color w:val="auto"/>
                <w:szCs w:val="21"/>
                <w:highlight w:val="none"/>
              </w:rPr>
            </w:pPr>
            <w:r>
              <w:rPr>
                <w:rFonts w:ascii="宋体" w:hAnsi="宋体"/>
                <w:color w:val="auto"/>
                <w:szCs w:val="21"/>
                <w:highlight w:val="none"/>
              </w:rPr>
              <w:t>安装调试要求</w:t>
            </w:r>
          </w:p>
          <w:p w14:paraId="177AB290">
            <w:pPr>
              <w:spacing w:line="360" w:lineRule="exact"/>
              <w:jc w:val="center"/>
              <w:rPr>
                <w:rFonts w:hint="eastAsia" w:ascii="宋体" w:hAnsi="宋体"/>
                <w:color w:val="auto"/>
                <w:szCs w:val="21"/>
                <w:highlight w:val="none"/>
              </w:rPr>
            </w:pPr>
          </w:p>
        </w:tc>
        <w:tc>
          <w:tcPr>
            <w:tcW w:w="7466" w:type="dxa"/>
            <w:tcBorders>
              <w:top w:val="single" w:color="auto" w:sz="4" w:space="0"/>
              <w:left w:val="single" w:color="auto" w:sz="4" w:space="0"/>
              <w:bottom w:val="single" w:color="auto" w:sz="4" w:space="0"/>
              <w:right w:val="single" w:color="auto" w:sz="4" w:space="0"/>
            </w:tcBorders>
            <w:noWrap w:val="0"/>
            <w:vAlign w:val="center"/>
          </w:tcPr>
          <w:p w14:paraId="655BC268">
            <w:pPr>
              <w:spacing w:line="36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所有设备均须由</w:t>
            </w:r>
            <w:r>
              <w:rPr>
                <w:rFonts w:hint="eastAsia" w:ascii="宋体" w:hAnsi="宋体"/>
                <w:color w:val="auto"/>
                <w:szCs w:val="21"/>
                <w:highlight w:val="none"/>
              </w:rPr>
              <w:t>成交</w:t>
            </w:r>
            <w:r>
              <w:rPr>
                <w:rFonts w:ascii="宋体" w:hAnsi="宋体"/>
                <w:color w:val="auto"/>
                <w:szCs w:val="21"/>
                <w:highlight w:val="none"/>
              </w:rPr>
              <w:t>供应商送货上门并安装调试，含安装辅材、原设备拆除</w:t>
            </w:r>
            <w:r>
              <w:rPr>
                <w:rFonts w:hint="eastAsia" w:ascii="宋体" w:hAnsi="宋体"/>
                <w:color w:val="auto"/>
                <w:szCs w:val="21"/>
                <w:highlight w:val="none"/>
              </w:rPr>
              <w:t>（如有）</w:t>
            </w:r>
            <w:r>
              <w:rPr>
                <w:rFonts w:ascii="宋体" w:hAnsi="宋体"/>
                <w:color w:val="auto"/>
                <w:szCs w:val="21"/>
                <w:highlight w:val="none"/>
              </w:rPr>
              <w:t>、设备安装、调试等，采购人不再额外支付任何费用。</w:t>
            </w:r>
          </w:p>
          <w:p w14:paraId="72FC9AAA">
            <w:pPr>
              <w:spacing w:line="36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设备的固定安装符合施工要求，安装美观，整体走线符合安装工艺要求，如安装位置是填充材料，须进行加固处理，</w:t>
            </w:r>
            <w:r>
              <w:rPr>
                <w:rFonts w:hint="eastAsia" w:ascii="宋体" w:hAnsi="宋体"/>
                <w:color w:val="auto"/>
                <w:szCs w:val="21"/>
                <w:highlight w:val="none"/>
              </w:rPr>
              <w:t>实施</w:t>
            </w:r>
            <w:r>
              <w:rPr>
                <w:rFonts w:ascii="宋体" w:hAnsi="宋体"/>
                <w:color w:val="auto"/>
                <w:szCs w:val="21"/>
                <w:highlight w:val="none"/>
              </w:rPr>
              <w:t>过程中如涉及破坏原建筑物，需按要求恢复。</w:t>
            </w:r>
          </w:p>
          <w:p w14:paraId="0C078006">
            <w:pPr>
              <w:spacing w:line="360" w:lineRule="exac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线材管材、设备间连接线、转接头、电源插座板等均采用经质检合格的产品。</w:t>
            </w:r>
          </w:p>
        </w:tc>
      </w:tr>
      <w:tr w14:paraId="3384F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60E9C4D9">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售后技术服务要求</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47DDB46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1.质保期：质保期从验收合格之日起计算，除“技术参数及性能（配置）要求”中有特别要求的，</w:t>
            </w:r>
            <w:r>
              <w:rPr>
                <w:rFonts w:hint="eastAsia" w:ascii="宋体" w:hAnsi="宋体"/>
                <w:color w:val="auto"/>
                <w:szCs w:val="21"/>
                <w:highlight w:val="none"/>
                <w:lang w:val="en-US" w:eastAsia="zh-CN"/>
              </w:rPr>
              <w:t>整个网络布线工程整体</w:t>
            </w:r>
            <w:r>
              <w:rPr>
                <w:rFonts w:hint="eastAsia" w:ascii="宋体" w:hAnsi="宋体"/>
                <w:color w:val="auto"/>
                <w:szCs w:val="21"/>
                <w:highlight w:val="none"/>
              </w:rPr>
              <w:t>质保期最短不得少于12个月，质保期内产品实行三包，无条件更换全新零配件。在质保期内因货物质量、安装而造成货物损坏，其全部费用由成交人负责。</w:t>
            </w:r>
          </w:p>
          <w:p w14:paraId="0B92440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2.售后技术服务费用包含在报价中，售后技术服务内容如下：</w:t>
            </w:r>
          </w:p>
          <w:p w14:paraId="3BAD8B3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1）负责送货到用户现场，在用户要求的时间内负责安装调试合格，对设备操作及维修人员进行操作及维修培训，直至技术人员熟练掌握使用及维修技能为止，提供完善的产品使用手册、操作培训手册、维护手册、详细培训计划。</w:t>
            </w:r>
          </w:p>
          <w:p w14:paraId="00383FB6">
            <w:pPr>
              <w:pStyle w:val="4"/>
              <w:spacing w:line="360" w:lineRule="exact"/>
              <w:rPr>
                <w:rFonts w:hint="eastAsia" w:ascii="宋体" w:hAnsi="宋体"/>
                <w:color w:val="auto"/>
                <w:szCs w:val="21"/>
                <w:highlight w:val="none"/>
              </w:rPr>
            </w:pPr>
            <w:r>
              <w:rPr>
                <w:rFonts w:hint="eastAsia" w:ascii="宋体" w:hAnsi="宋体"/>
                <w:color w:val="auto"/>
                <w:szCs w:val="21"/>
                <w:highlight w:val="none"/>
              </w:rPr>
              <w:t>（2）维修响应时间不超过0.5小时，接到采购人维修故障电话后2小时内到达现场；每台设备一个月内故障超过3次或者质保期内故障超过5次，要求无条件更换新机，且维修时间预计超过24小时的需要提供备用机。</w:t>
            </w:r>
          </w:p>
          <w:p w14:paraId="52F5D63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3）质保期内对设备进行定期维护和修理，从验收合格交付使用起，在规定的质保期内，任何由制造设计原理引起的非正常损坏，由成交人负责修理。质保期外，产生的损坏或故障，维修优先确保使用，再支付相关费用，不得影响正常工作。</w:t>
            </w:r>
          </w:p>
        </w:tc>
      </w:tr>
      <w:tr w14:paraId="78B65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3C32A458">
            <w:pPr>
              <w:spacing w:line="360" w:lineRule="auto"/>
              <w:jc w:val="center"/>
              <w:rPr>
                <w:rFonts w:ascii="宋体" w:hAnsi="宋体"/>
                <w:color w:val="auto"/>
                <w:szCs w:val="21"/>
                <w:highlight w:val="none"/>
              </w:rPr>
            </w:pPr>
            <w:r>
              <w:rPr>
                <w:rFonts w:hint="eastAsia" w:ascii="宋体" w:hAnsi="宋体"/>
                <w:color w:val="auto"/>
                <w:szCs w:val="21"/>
                <w:highlight w:val="none"/>
              </w:rPr>
              <w:t>包装和运输</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567DA6AC">
            <w:pPr>
              <w:spacing w:line="360" w:lineRule="exact"/>
              <w:rPr>
                <w:rFonts w:hint="eastAsia" w:ascii="宋体" w:hAnsi="宋体"/>
                <w:color w:val="auto"/>
                <w:szCs w:val="21"/>
                <w:highlight w:val="none"/>
              </w:rPr>
            </w:pPr>
            <w:r>
              <w:rPr>
                <w:rFonts w:hint="eastAsia" w:ascii="宋体" w:hAnsi="宋体"/>
                <w:color w:val="auto"/>
                <w:szCs w:val="21"/>
                <w:highlight w:val="none"/>
              </w:rPr>
              <w:t>1.成交</w:t>
            </w:r>
            <w:r>
              <w:rPr>
                <w:rFonts w:ascii="宋体" w:hAnsi="宋体"/>
                <w:color w:val="auto"/>
                <w:szCs w:val="21"/>
                <w:highlight w:val="none"/>
              </w:rPr>
              <w:t>供应商供货的货物应为全新的未开封产品，满足本次</w:t>
            </w:r>
            <w:r>
              <w:rPr>
                <w:rFonts w:hint="eastAsia" w:ascii="宋体" w:hAnsi="宋体"/>
                <w:color w:val="auto"/>
                <w:szCs w:val="21"/>
                <w:highlight w:val="none"/>
              </w:rPr>
              <w:t>采购</w:t>
            </w:r>
            <w:r>
              <w:rPr>
                <w:rFonts w:ascii="宋体" w:hAnsi="宋体"/>
                <w:color w:val="auto"/>
                <w:szCs w:val="21"/>
                <w:highlight w:val="none"/>
              </w:rPr>
              <w:t>货物的技术要求，须具有产品合格证</w:t>
            </w:r>
            <w:r>
              <w:rPr>
                <w:rFonts w:hint="eastAsia" w:ascii="宋体" w:hAnsi="宋体"/>
                <w:color w:val="auto"/>
                <w:szCs w:val="21"/>
                <w:highlight w:val="none"/>
              </w:rPr>
              <w:t>。</w:t>
            </w:r>
          </w:p>
          <w:p w14:paraId="248CA514">
            <w:pPr>
              <w:spacing w:line="360" w:lineRule="exact"/>
              <w:rPr>
                <w:rFonts w:hint="eastAsia" w:ascii="宋体" w:hAnsi="宋体"/>
                <w:color w:val="auto"/>
                <w:szCs w:val="21"/>
                <w:highlight w:val="none"/>
              </w:rPr>
            </w:pPr>
            <w:r>
              <w:rPr>
                <w:rFonts w:hint="eastAsia" w:ascii="宋体" w:hAnsi="宋体"/>
                <w:color w:val="auto"/>
                <w:szCs w:val="21"/>
                <w:highlight w:val="none"/>
              </w:rPr>
              <w:t>2.成交</w:t>
            </w:r>
            <w:r>
              <w:rPr>
                <w:rFonts w:ascii="宋体" w:hAnsi="宋体"/>
                <w:color w:val="auto"/>
                <w:szCs w:val="21"/>
                <w:highlight w:val="none"/>
              </w:rPr>
              <w:t>供应商提供的产品涉及商品包装或快递包装的，须严格按照财政部等三部门联合印发《商品包装政府采购需求标准（试行）》、《快递包装政府采购需求标准（试行）》的通知（财办库[2020]123号）要求执行</w:t>
            </w:r>
            <w:r>
              <w:rPr>
                <w:rFonts w:hint="eastAsia" w:ascii="宋体" w:hAnsi="宋体"/>
                <w:color w:val="auto"/>
                <w:szCs w:val="21"/>
                <w:highlight w:val="none"/>
              </w:rPr>
              <w:t>。</w:t>
            </w:r>
          </w:p>
          <w:p w14:paraId="56B1A038">
            <w:pPr>
              <w:spacing w:line="360" w:lineRule="exact"/>
              <w:rPr>
                <w:rFonts w:hint="eastAsia" w:ascii="宋体" w:hAnsi="宋体"/>
                <w:color w:val="auto"/>
                <w:szCs w:val="21"/>
                <w:highlight w:val="none"/>
              </w:rPr>
            </w:pPr>
            <w:r>
              <w:rPr>
                <w:rFonts w:hint="eastAsia" w:ascii="宋体" w:hAnsi="宋体"/>
                <w:color w:val="auto"/>
                <w:szCs w:val="21"/>
                <w:highlight w:val="none"/>
              </w:rPr>
              <w:t>3.成交</w:t>
            </w:r>
            <w:r>
              <w:rPr>
                <w:rFonts w:ascii="宋体" w:hAnsi="宋体"/>
                <w:color w:val="auto"/>
                <w:szCs w:val="21"/>
                <w:highlight w:val="none"/>
              </w:rPr>
              <w:t>供应商须提供全新的货物（含零部件、配件等），货物在送到使用单位之前表面无划伤、无碰撞等现象，并且安装调试后能正常使用</w:t>
            </w:r>
            <w:r>
              <w:rPr>
                <w:rFonts w:hint="eastAsia" w:ascii="宋体" w:hAnsi="宋体"/>
                <w:color w:val="auto"/>
                <w:szCs w:val="21"/>
                <w:highlight w:val="none"/>
              </w:rPr>
              <w:t>。</w:t>
            </w:r>
          </w:p>
          <w:p w14:paraId="77E92677">
            <w:pPr>
              <w:spacing w:line="360" w:lineRule="exact"/>
              <w:rPr>
                <w:rFonts w:hint="eastAsia" w:ascii="宋体" w:hAnsi="宋体"/>
                <w:color w:val="auto"/>
                <w:szCs w:val="21"/>
                <w:highlight w:val="none"/>
              </w:rPr>
            </w:pPr>
            <w:r>
              <w:rPr>
                <w:rFonts w:hint="eastAsia" w:ascii="宋体" w:hAnsi="宋体"/>
                <w:color w:val="auto"/>
                <w:szCs w:val="21"/>
                <w:highlight w:val="none"/>
              </w:rPr>
              <w:t>4.成交</w:t>
            </w:r>
            <w:r>
              <w:rPr>
                <w:rFonts w:ascii="宋体" w:hAnsi="宋体"/>
                <w:color w:val="auto"/>
                <w:szCs w:val="21"/>
                <w:highlight w:val="none"/>
              </w:rPr>
              <w:t>供应商货到现场用户不负责提供货物仓储地，由</w:t>
            </w:r>
            <w:r>
              <w:rPr>
                <w:rFonts w:hint="eastAsia" w:ascii="宋体" w:hAnsi="宋体"/>
                <w:color w:val="auto"/>
                <w:szCs w:val="21"/>
                <w:highlight w:val="none"/>
              </w:rPr>
              <w:t>成交</w:t>
            </w:r>
            <w:r>
              <w:rPr>
                <w:rFonts w:ascii="宋体" w:hAnsi="宋体"/>
                <w:color w:val="auto"/>
                <w:szCs w:val="21"/>
                <w:highlight w:val="none"/>
              </w:rPr>
              <w:t>供应商负责货物保管工作，货到现场但未安装完全交付前造成的遗失、损坏等问题，由</w:t>
            </w:r>
            <w:r>
              <w:rPr>
                <w:rFonts w:hint="eastAsia" w:ascii="宋体" w:hAnsi="宋体"/>
                <w:color w:val="auto"/>
                <w:szCs w:val="21"/>
                <w:highlight w:val="none"/>
              </w:rPr>
              <w:t>成交</w:t>
            </w:r>
            <w:r>
              <w:rPr>
                <w:rFonts w:ascii="宋体" w:hAnsi="宋体"/>
                <w:color w:val="auto"/>
                <w:szCs w:val="21"/>
                <w:highlight w:val="none"/>
              </w:rPr>
              <w:t>供应商承担</w:t>
            </w:r>
            <w:r>
              <w:rPr>
                <w:rFonts w:hint="eastAsia" w:ascii="宋体" w:hAnsi="宋体"/>
                <w:color w:val="auto"/>
                <w:szCs w:val="21"/>
                <w:highlight w:val="none"/>
              </w:rPr>
              <w:t>。</w:t>
            </w:r>
          </w:p>
          <w:p w14:paraId="4E65B05D">
            <w:pPr>
              <w:spacing w:line="360" w:lineRule="exac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若遇配货包装、运输过程中造成的短缺、差错、丢失、损坏等，</w:t>
            </w:r>
            <w:r>
              <w:rPr>
                <w:rFonts w:hint="eastAsia" w:ascii="宋体" w:hAnsi="宋体"/>
                <w:color w:val="auto"/>
                <w:szCs w:val="21"/>
                <w:highlight w:val="none"/>
              </w:rPr>
              <w:t>成交</w:t>
            </w:r>
            <w:r>
              <w:rPr>
                <w:rFonts w:ascii="宋体" w:hAnsi="宋体"/>
                <w:color w:val="auto"/>
                <w:szCs w:val="21"/>
                <w:highlight w:val="none"/>
              </w:rPr>
              <w:t>供应商无条件调换、补缺</w:t>
            </w:r>
            <w:r>
              <w:rPr>
                <w:rFonts w:hint="eastAsia" w:ascii="宋体" w:hAnsi="宋体"/>
                <w:color w:val="auto"/>
                <w:szCs w:val="21"/>
                <w:highlight w:val="none"/>
              </w:rPr>
              <w:t>。</w:t>
            </w:r>
          </w:p>
          <w:p w14:paraId="54CFBC03">
            <w:pPr>
              <w:spacing w:line="360" w:lineRule="auto"/>
              <w:rPr>
                <w:rFonts w:ascii="宋体" w:hAnsi="宋体"/>
                <w:color w:val="auto"/>
                <w:szCs w:val="21"/>
                <w:highlight w:val="none"/>
              </w:rPr>
            </w:pPr>
            <w:r>
              <w:rPr>
                <w:rFonts w:hint="eastAsia" w:ascii="宋体" w:hAnsi="宋体"/>
                <w:color w:val="auto"/>
                <w:szCs w:val="21"/>
                <w:highlight w:val="none"/>
              </w:rPr>
              <w:t>6.成交</w:t>
            </w:r>
            <w:r>
              <w:rPr>
                <w:rFonts w:ascii="宋体" w:hAnsi="宋体"/>
                <w:color w:val="auto"/>
                <w:szCs w:val="21"/>
                <w:highlight w:val="none"/>
              </w:rPr>
              <w:t>供应商按订货的品种、数量配货，送货到校，并附详细的发货清单和签收单，以便验货核对。</w:t>
            </w:r>
          </w:p>
        </w:tc>
      </w:tr>
      <w:tr w14:paraId="42C66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2F46A94F">
            <w:pPr>
              <w:spacing w:line="360" w:lineRule="auto"/>
              <w:jc w:val="center"/>
              <w:rPr>
                <w:rFonts w:hint="eastAsia" w:ascii="宋体" w:hAnsi="宋体"/>
                <w:color w:val="auto"/>
                <w:szCs w:val="21"/>
                <w:highlight w:val="none"/>
              </w:rPr>
            </w:pPr>
            <w:r>
              <w:rPr>
                <w:rFonts w:hint="eastAsia" w:ascii="宋体" w:hAnsi="宋体"/>
                <w:color w:val="auto"/>
                <w:szCs w:val="21"/>
                <w:highlight w:val="none"/>
              </w:rPr>
              <w:t>进口产品说明</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7B68C46D">
            <w:pPr>
              <w:spacing w:line="360" w:lineRule="auto"/>
              <w:rPr>
                <w:rFonts w:hint="eastAsia" w:ascii="宋体" w:hAnsi="宋体"/>
                <w:color w:val="auto"/>
                <w:szCs w:val="21"/>
                <w:highlight w:val="none"/>
              </w:rPr>
            </w:pPr>
            <w:r>
              <w:rPr>
                <w:rFonts w:hint="eastAsia" w:ascii="宋体" w:hAnsi="宋体"/>
                <w:color w:val="auto"/>
                <w:szCs w:val="21"/>
                <w:highlight w:val="none"/>
              </w:rPr>
              <w:t>本项目货物不接受进口产品(即通过中国海关报关验放进入中国境内且产自关境外的产品)参与竞标，如有此类产品参与竞标的做无效标处理。</w:t>
            </w:r>
          </w:p>
        </w:tc>
      </w:tr>
      <w:tr w14:paraId="25222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189E11FD">
            <w:pPr>
              <w:spacing w:line="360" w:lineRule="auto"/>
              <w:jc w:val="center"/>
              <w:rPr>
                <w:rFonts w:ascii="宋体" w:hAnsi="宋体"/>
                <w:color w:val="auto"/>
                <w:szCs w:val="21"/>
                <w:highlight w:val="none"/>
              </w:rPr>
            </w:pPr>
            <w:r>
              <w:rPr>
                <w:rFonts w:hint="eastAsia" w:ascii="宋体" w:hAnsi="宋体"/>
                <w:color w:val="auto"/>
                <w:szCs w:val="21"/>
                <w:highlight w:val="none"/>
              </w:rPr>
              <w:t>三、验收标准</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107B2E31">
            <w:pPr>
              <w:tabs>
                <w:tab w:val="left" w:pos="180"/>
                <w:tab w:val="left" w:pos="1620"/>
              </w:tabs>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所有货物必须是全新的产品</w:t>
            </w:r>
            <w:r>
              <w:rPr>
                <w:rFonts w:hint="eastAsia" w:ascii="宋体" w:hAnsi="宋体"/>
                <w:color w:val="auto"/>
                <w:szCs w:val="21"/>
                <w:highlight w:val="none"/>
              </w:rPr>
              <w:t>。交货前不允许提前开箱、调试；货物备齐后通知采购人对货物进行清点、核实，由采购人、成交人双方派代表当场开箱验货，并按合同条款逐条检验签收后，双方代表签字，否则不予验收。</w:t>
            </w:r>
          </w:p>
          <w:p w14:paraId="4961978E">
            <w:pPr>
              <w:tabs>
                <w:tab w:val="left" w:pos="180"/>
                <w:tab w:val="left" w:pos="1620"/>
              </w:tabs>
              <w:spacing w:line="360" w:lineRule="auto"/>
              <w:rPr>
                <w:rFonts w:ascii="宋体" w:hAnsi="宋体"/>
                <w:color w:val="auto"/>
                <w:szCs w:val="21"/>
                <w:highlight w:val="none"/>
              </w:rPr>
            </w:pPr>
            <w:r>
              <w:rPr>
                <w:rFonts w:hint="eastAsia" w:ascii="宋体" w:hAnsi="宋体"/>
                <w:color w:val="auto"/>
                <w:szCs w:val="21"/>
                <w:highlight w:val="none"/>
              </w:rPr>
              <w:t>2.交货时，所有产品均严格按采购文件上的技术规格要求、成交供应商响应和承诺的技术参数及性能和国家有关标准进行验收，达不到实质性要求的视为产品验收不合格，并按相关规定处理、处罚。</w:t>
            </w:r>
          </w:p>
          <w:p w14:paraId="6D6CAAEE">
            <w:pPr>
              <w:tabs>
                <w:tab w:val="left" w:pos="180"/>
                <w:tab w:val="left" w:pos="1620"/>
              </w:tabs>
              <w:spacing w:line="360" w:lineRule="auto"/>
              <w:rPr>
                <w:rFonts w:ascii="宋体" w:hAnsi="宋体"/>
                <w:color w:val="auto"/>
                <w:szCs w:val="21"/>
                <w:highlight w:val="none"/>
              </w:rPr>
            </w:pPr>
            <w:r>
              <w:rPr>
                <w:rFonts w:hint="eastAsia" w:ascii="宋体" w:hAnsi="宋体"/>
                <w:color w:val="auto"/>
                <w:szCs w:val="21"/>
                <w:highlight w:val="none"/>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12650489">
            <w:pPr>
              <w:tabs>
                <w:tab w:val="left" w:pos="180"/>
                <w:tab w:val="left" w:pos="1620"/>
              </w:tabs>
              <w:spacing w:line="360" w:lineRule="auto"/>
              <w:rPr>
                <w:rFonts w:hint="eastAsia" w:ascii="宋体" w:hAnsi="宋体"/>
                <w:color w:val="auto"/>
                <w:szCs w:val="21"/>
                <w:highlight w:val="none"/>
              </w:rPr>
            </w:pPr>
            <w:r>
              <w:rPr>
                <w:rFonts w:hint="eastAsia" w:ascii="宋体" w:hAnsi="宋体"/>
                <w:color w:val="auto"/>
                <w:szCs w:val="21"/>
                <w:highlight w:val="none"/>
              </w:rPr>
              <w:t>4.安装后达到验收标准应符合中国有关的国家、地方、行业标准。供应商提供产品的有效检验文件，经采购人认可后，与合同的性能指标一起作为验收标准，采购人可组成验收小组对产品进行复检与性能测试，供应商派出技术人员协助此项工作。项目验收合格后，签署验收合格书。</w:t>
            </w:r>
          </w:p>
          <w:p w14:paraId="316F673C">
            <w:pPr>
              <w:tabs>
                <w:tab w:val="left" w:pos="180"/>
                <w:tab w:val="left" w:pos="1620"/>
              </w:tabs>
              <w:spacing w:line="360" w:lineRule="auto"/>
              <w:rPr>
                <w:rFonts w:hint="eastAsia" w:ascii="宋体" w:hAnsi="宋体"/>
                <w:color w:val="auto"/>
                <w:szCs w:val="21"/>
                <w:highlight w:val="none"/>
              </w:rPr>
            </w:pPr>
            <w:r>
              <w:rPr>
                <w:rFonts w:hint="eastAsia" w:ascii="宋体" w:hAnsi="宋体"/>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35AA48ED">
            <w:pPr>
              <w:tabs>
                <w:tab w:val="left" w:pos="180"/>
                <w:tab w:val="left" w:pos="1620"/>
              </w:tabs>
              <w:spacing w:line="360" w:lineRule="auto"/>
              <w:rPr>
                <w:rFonts w:ascii="宋体" w:hAnsi="宋体" w:eastAsia="仿宋_GB2312"/>
                <w:bCs/>
                <w:color w:val="auto"/>
                <w:szCs w:val="21"/>
                <w:highlight w:val="none"/>
              </w:rPr>
            </w:pPr>
            <w:r>
              <w:rPr>
                <w:rFonts w:hint="eastAsia" w:ascii="宋体" w:hAnsi="宋体"/>
                <w:color w:val="auto"/>
                <w:szCs w:val="21"/>
                <w:highlight w:val="none"/>
              </w:rPr>
              <w:t>6.符合采购文件参数要求及成交人的响应参数要求。</w:t>
            </w:r>
          </w:p>
        </w:tc>
      </w:tr>
      <w:tr w14:paraId="54380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7A642169">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其他要求</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60133C45">
            <w:pPr>
              <w:pStyle w:val="8"/>
              <w:keepNext w:val="0"/>
              <w:keepLines w:val="0"/>
              <w:pageBreakBefore w:val="0"/>
              <w:widowControl/>
              <w:kinsoku w:val="0"/>
              <w:wordWrap/>
              <w:overflowPunct/>
              <w:topLinePunct w:val="0"/>
              <w:autoSpaceDE w:val="0"/>
              <w:autoSpaceDN w:val="0"/>
              <w:bidi w:val="0"/>
              <w:adjustRightInd w:val="0"/>
              <w:snapToGrid w:val="0"/>
              <w:spacing w:before="185" w:line="360" w:lineRule="exact"/>
              <w:ind w:left="115" w:right="87" w:firstLine="500" w:firstLineChars="20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spacing w:val="5"/>
                <w:sz w:val="24"/>
                <w:szCs w:val="24"/>
                <w:lang w:val="en-US" w:eastAsia="zh-CN"/>
              </w:rPr>
              <w:t>1</w:t>
            </w:r>
            <w:r>
              <w:rPr>
                <w:rFonts w:hint="eastAsia" w:ascii="宋体" w:hAnsi="宋体" w:eastAsia="宋体" w:cs="Times New Roman"/>
                <w:color w:val="auto"/>
                <w:kern w:val="2"/>
                <w:sz w:val="21"/>
                <w:szCs w:val="21"/>
                <w:highlight w:val="none"/>
                <w:lang w:val="en-US" w:eastAsia="zh-CN" w:bidi="ar-SA"/>
              </w:rPr>
              <w:t>.中标人网络布线工程逾期交付的，每天向采购人偿付违约货款额0.5‰违约金，超过15天采购人有权解除合同，中标人应按合同总金额的30%向采购人支付违约金，并承担因此给采购人造成的经济损失。</w:t>
            </w:r>
          </w:p>
          <w:p w14:paraId="085DB8BA">
            <w:pPr>
              <w:pStyle w:val="8"/>
              <w:keepNext w:val="0"/>
              <w:keepLines w:val="0"/>
              <w:pageBreakBefore w:val="0"/>
              <w:widowControl/>
              <w:kinsoku w:val="0"/>
              <w:wordWrap/>
              <w:overflowPunct/>
              <w:topLinePunct w:val="0"/>
              <w:autoSpaceDE w:val="0"/>
              <w:autoSpaceDN w:val="0"/>
              <w:bidi w:val="0"/>
              <w:adjustRightInd w:val="0"/>
              <w:snapToGrid w:val="0"/>
              <w:spacing w:before="185" w:line="360" w:lineRule="exact"/>
              <w:ind w:left="115" w:right="87" w:firstLine="420" w:firstLineChars="20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2.全文明作业规范要求进行的，尤其是违反工完场清和禁烟规定的，限期整改不合格的，视情节严重情况扣除合同款10-1000元/次。 </w:t>
            </w:r>
          </w:p>
          <w:p w14:paraId="7DCB509C">
            <w:pPr>
              <w:tabs>
                <w:tab w:val="left" w:pos="180"/>
                <w:tab w:val="left" w:pos="1620"/>
              </w:tabs>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3.发生其他安装和维保不合格情况的，限期整改不合格的，视情节严重情况扣除合同款10-1000元/次。情节特别严重，导致项目无法实施的，采购人免责终止服务合同</w:t>
            </w:r>
            <w:r>
              <w:rPr>
                <w:rFonts w:hint="eastAsia" w:ascii="宋体" w:hAnsi="宋体" w:cs="Times New Roman"/>
                <w:color w:val="auto"/>
                <w:kern w:val="2"/>
                <w:sz w:val="21"/>
                <w:szCs w:val="21"/>
                <w:highlight w:val="none"/>
                <w:lang w:val="en-US" w:eastAsia="zh-CN" w:bidi="ar-SA"/>
              </w:rPr>
              <w:t>。</w:t>
            </w:r>
          </w:p>
        </w:tc>
      </w:tr>
    </w:tbl>
    <w:p w14:paraId="6946A35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74A6F"/>
    <w:rsid w:val="04912ACD"/>
    <w:rsid w:val="096852E4"/>
    <w:rsid w:val="0DCB704F"/>
    <w:rsid w:val="10FA178E"/>
    <w:rsid w:val="2670658E"/>
    <w:rsid w:val="3D384D4F"/>
    <w:rsid w:val="3E0B0C1F"/>
    <w:rsid w:val="3F161F71"/>
    <w:rsid w:val="43A019DE"/>
    <w:rsid w:val="4C6A6D6B"/>
    <w:rsid w:val="5147420C"/>
    <w:rsid w:val="6AE262E2"/>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hAnsi="Times New Roman" w:cs="Times New Roman"/>
    </w:r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4">
    <w:name w:val="annotation text"/>
    <w:basedOn w:val="1"/>
    <w:qFormat/>
    <w:uiPriority w:val="0"/>
    <w:pPr>
      <w:jc w:val="left"/>
    </w:pPr>
  </w:style>
  <w:style w:type="paragraph" w:styleId="5">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2570</Words>
  <Characters>2647</Characters>
  <Lines>0</Lines>
  <Paragraphs>0</Paragraphs>
  <TotalTime>15</TotalTime>
  <ScaleCrop>false</ScaleCrop>
  <LinksUpToDate>false</LinksUpToDate>
  <CharactersWithSpaces>2651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2025-07-22T09:22:00Z</dcterms:created>
  <dc:creator>Administrator</dc:creator>
  <cp:lastModifiedBy>YXZB</cp:lastModifiedBy>
  <dcterms:modified xsi:type="dcterms:W3CDTF">2026-03-09T03:02:01Z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eyJoZGlkIjoiMWNkNWU1MTc3ZDQ5ZmI1MzA3NGU2NTQzMjcwNjNlYjYiLCJ1c2VySWQiOiI3MjI0MjIxMDgifQ==</vt:lpwstr>
  </property>
  <property fmtid="{D5CDD505-2E9C-101B-9397-08002B2CF9AE}" pid="4" name="ICV">
    <vt:lpwstr>AECA24F934064F8EBE77DF1B1BC5A0D8_12</vt:lpwstr>
  </property>
</Properties>
</file>