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58C1A">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江西国宜工程咨询有限公司关于丰城盐业综合楼公开招租项目公开竞价公告</w:t>
      </w:r>
    </w:p>
    <w:p w14:paraId="1732C058">
      <w:pPr>
        <w:spacing w:line="240" w:lineRule="auto"/>
        <w:rPr>
          <w:rFonts w:hint="eastAsia"/>
          <w:color w:val="auto"/>
          <w:lang w:val="en-US" w:eastAsia="zh-CN"/>
        </w:rPr>
      </w:pPr>
    </w:p>
    <w:p w14:paraId="2F89B4B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江西国宜工程咨询有限公司受</w:t>
      </w:r>
      <w:r>
        <w:rPr>
          <w:rFonts w:hint="eastAsia" w:ascii="仿宋" w:hAnsi="仿宋" w:eastAsia="仿宋" w:cs="仿宋"/>
          <w:color w:val="auto"/>
          <w:sz w:val="28"/>
          <w:szCs w:val="28"/>
          <w:highlight w:val="none"/>
          <w:lang w:val="en-US" w:eastAsia="zh-CN"/>
        </w:rPr>
        <w:t>江西省新余江盐华康盐业有限公司</w:t>
      </w:r>
      <w:r>
        <w:rPr>
          <w:rFonts w:hint="eastAsia" w:ascii="仿宋" w:hAnsi="仿宋" w:eastAsia="仿宋" w:cs="仿宋"/>
          <w:color w:val="auto"/>
          <w:sz w:val="28"/>
          <w:szCs w:val="28"/>
          <w:highlight w:val="none"/>
        </w:rPr>
        <w:t>委托，就</w:t>
      </w:r>
      <w:r>
        <w:rPr>
          <w:rFonts w:hint="eastAsia" w:ascii="仿宋" w:hAnsi="仿宋" w:eastAsia="仿宋" w:cs="仿宋"/>
          <w:color w:val="auto"/>
          <w:sz w:val="28"/>
          <w:szCs w:val="28"/>
          <w:highlight w:val="none"/>
          <w:lang w:val="en-US" w:eastAsia="zh-CN"/>
        </w:rPr>
        <w:t>丰城盐业综合楼公开招租项目</w:t>
      </w:r>
      <w:r>
        <w:rPr>
          <w:rFonts w:hint="eastAsia" w:ascii="仿宋" w:hAnsi="仿宋" w:eastAsia="仿宋" w:cs="仿宋"/>
          <w:color w:val="auto"/>
          <w:sz w:val="28"/>
          <w:szCs w:val="28"/>
          <w:highlight w:val="none"/>
        </w:rPr>
        <w:t>进行网上</w:t>
      </w:r>
      <w:r>
        <w:rPr>
          <w:rFonts w:hint="eastAsia" w:ascii="仿宋" w:hAnsi="仿宋" w:eastAsia="仿宋" w:cs="仿宋"/>
          <w:color w:val="auto"/>
          <w:sz w:val="28"/>
          <w:szCs w:val="28"/>
          <w:highlight w:val="none"/>
          <w:lang w:val="en-US" w:eastAsia="zh-CN"/>
        </w:rPr>
        <w:t>公开</w:t>
      </w:r>
      <w:r>
        <w:rPr>
          <w:rFonts w:hint="eastAsia" w:ascii="仿宋" w:hAnsi="仿宋" w:eastAsia="仿宋" w:cs="仿宋"/>
          <w:color w:val="auto"/>
          <w:sz w:val="28"/>
          <w:szCs w:val="28"/>
          <w:highlight w:val="none"/>
        </w:rPr>
        <w:t>竞价。</w:t>
      </w:r>
    </w:p>
    <w:p w14:paraId="10C3A49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项目简介</w:t>
      </w:r>
    </w:p>
    <w:p w14:paraId="554FD95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组织方：</w:t>
      </w:r>
      <w:r>
        <w:rPr>
          <w:rFonts w:hint="eastAsia" w:ascii="仿宋" w:hAnsi="仿宋" w:eastAsia="仿宋" w:cs="仿宋"/>
          <w:color w:val="auto"/>
          <w:sz w:val="28"/>
          <w:szCs w:val="28"/>
          <w:highlight w:val="none"/>
          <w:lang w:val="en-US" w:eastAsia="zh-CN"/>
        </w:rPr>
        <w:t>江西省新余江盐华康盐业有限公司</w:t>
      </w:r>
    </w:p>
    <w:p w14:paraId="08C4F6E5">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概况：</w:t>
      </w:r>
      <w:r>
        <w:rPr>
          <w:rFonts w:hint="eastAsia" w:ascii="仿宋" w:hAnsi="仿宋" w:eastAsia="仿宋" w:cs="仿宋"/>
          <w:color w:val="auto"/>
          <w:sz w:val="28"/>
          <w:szCs w:val="28"/>
          <w:highlight w:val="none"/>
          <w:lang w:val="en-US" w:eastAsia="zh-CN"/>
        </w:rPr>
        <w:t>丰城盐业综合楼位于</w:t>
      </w:r>
      <w:r>
        <w:rPr>
          <w:rFonts w:hint="eastAsia" w:ascii="仿宋" w:hAnsi="仿宋" w:eastAsia="仿宋" w:cs="仿宋"/>
          <w:b w:val="0"/>
          <w:bCs/>
          <w:color w:val="auto"/>
          <w:sz w:val="28"/>
          <w:szCs w:val="28"/>
          <w:lang w:val="en-US" w:eastAsia="zh-CN"/>
        </w:rPr>
        <w:t>丰城</w:t>
      </w:r>
      <w:r>
        <w:rPr>
          <w:rFonts w:hint="eastAsia" w:ascii="仿宋" w:hAnsi="仿宋" w:eastAsia="仿宋" w:cs="仿宋"/>
          <w:b w:val="0"/>
          <w:bCs/>
          <w:color w:val="auto"/>
          <w:sz w:val="28"/>
          <w:szCs w:val="28"/>
          <w:lang w:eastAsia="zh-CN"/>
        </w:rPr>
        <w:t>市</w:t>
      </w:r>
      <w:r>
        <w:rPr>
          <w:rFonts w:hint="eastAsia" w:ascii="仿宋" w:hAnsi="仿宋" w:eastAsia="仿宋" w:cs="仿宋"/>
          <w:b w:val="0"/>
          <w:bCs/>
          <w:color w:val="auto"/>
          <w:sz w:val="28"/>
          <w:szCs w:val="28"/>
          <w:lang w:val="en-US" w:eastAsia="zh-CN"/>
        </w:rPr>
        <w:t>孙渡</w:t>
      </w:r>
      <w:r>
        <w:rPr>
          <w:rFonts w:hint="eastAsia" w:ascii="仿宋" w:hAnsi="仿宋" w:eastAsia="仿宋" w:cs="仿宋"/>
          <w:b w:val="0"/>
          <w:bCs/>
          <w:color w:val="auto"/>
          <w:sz w:val="28"/>
          <w:szCs w:val="28"/>
          <w:lang w:eastAsia="zh-CN"/>
        </w:rPr>
        <w:t>街道</w:t>
      </w:r>
      <w:r>
        <w:rPr>
          <w:rFonts w:hint="eastAsia" w:ascii="仿宋" w:hAnsi="仿宋" w:eastAsia="仿宋" w:cs="仿宋"/>
          <w:b w:val="0"/>
          <w:bCs/>
          <w:color w:val="auto"/>
          <w:sz w:val="28"/>
          <w:szCs w:val="28"/>
          <w:lang w:val="en-US" w:eastAsia="zh-CN"/>
        </w:rPr>
        <w:t>办事处洪州窑南路56号1幢</w:t>
      </w:r>
      <w:r>
        <w:rPr>
          <w:rFonts w:hint="eastAsia" w:ascii="仿宋" w:hAnsi="仿宋" w:eastAsia="仿宋" w:cs="仿宋"/>
          <w:b w:val="0"/>
          <w:bCs/>
          <w:color w:val="auto"/>
          <w:sz w:val="28"/>
          <w:szCs w:val="28"/>
          <w:lang w:eastAsia="zh-CN"/>
        </w:rPr>
        <w:t>原</w:t>
      </w:r>
      <w:r>
        <w:rPr>
          <w:rFonts w:hint="eastAsia" w:ascii="仿宋" w:hAnsi="仿宋" w:eastAsia="仿宋" w:cs="仿宋"/>
          <w:b w:val="0"/>
          <w:bCs/>
          <w:color w:val="auto"/>
          <w:sz w:val="28"/>
          <w:szCs w:val="28"/>
          <w:lang w:val="en-US" w:eastAsia="zh-CN"/>
        </w:rPr>
        <w:t>丰城</w:t>
      </w:r>
      <w:r>
        <w:rPr>
          <w:rFonts w:hint="eastAsia" w:ascii="仿宋" w:hAnsi="仿宋" w:eastAsia="仿宋" w:cs="仿宋"/>
          <w:b w:val="0"/>
          <w:bCs/>
          <w:color w:val="auto"/>
          <w:sz w:val="28"/>
          <w:szCs w:val="28"/>
          <w:lang w:eastAsia="zh-CN"/>
        </w:rPr>
        <w:t>市盐务局综合楼，</w:t>
      </w:r>
      <w:r>
        <w:rPr>
          <w:rFonts w:hint="eastAsia" w:ascii="仿宋" w:hAnsi="仿宋" w:eastAsia="仿宋" w:cs="仿宋"/>
          <w:b w:val="0"/>
          <w:bCs/>
          <w:color w:val="auto"/>
          <w:sz w:val="28"/>
          <w:szCs w:val="28"/>
          <w:lang w:val="en-US" w:eastAsia="zh-CN"/>
        </w:rPr>
        <w:t>丰城</w:t>
      </w:r>
      <w:r>
        <w:rPr>
          <w:rFonts w:hint="eastAsia" w:ascii="仿宋" w:hAnsi="仿宋" w:eastAsia="仿宋" w:cs="仿宋"/>
          <w:b w:val="0"/>
          <w:bCs/>
          <w:color w:val="auto"/>
          <w:sz w:val="28"/>
          <w:szCs w:val="28"/>
          <w:lang w:eastAsia="zh-CN"/>
        </w:rPr>
        <w:t>市</w:t>
      </w:r>
      <w:r>
        <w:rPr>
          <w:rFonts w:hint="eastAsia" w:ascii="仿宋" w:hAnsi="仿宋" w:eastAsia="仿宋" w:cs="仿宋"/>
          <w:b w:val="0"/>
          <w:bCs/>
          <w:color w:val="auto"/>
          <w:sz w:val="28"/>
          <w:szCs w:val="28"/>
          <w:lang w:val="en-US" w:eastAsia="zh-CN"/>
        </w:rPr>
        <w:t>孙渡</w:t>
      </w:r>
      <w:r>
        <w:rPr>
          <w:rFonts w:hint="eastAsia" w:ascii="仿宋" w:hAnsi="仿宋" w:eastAsia="仿宋" w:cs="仿宋"/>
          <w:b w:val="0"/>
          <w:bCs/>
          <w:color w:val="auto"/>
          <w:sz w:val="28"/>
          <w:szCs w:val="28"/>
          <w:lang w:eastAsia="zh-CN"/>
        </w:rPr>
        <w:t>街道</w:t>
      </w:r>
      <w:r>
        <w:rPr>
          <w:rFonts w:hint="eastAsia" w:ascii="仿宋" w:hAnsi="仿宋" w:eastAsia="仿宋" w:cs="仿宋"/>
          <w:b w:val="0"/>
          <w:bCs/>
          <w:color w:val="auto"/>
          <w:sz w:val="28"/>
          <w:szCs w:val="28"/>
          <w:lang w:val="en-US" w:eastAsia="zh-CN"/>
        </w:rPr>
        <w:t>办事处洪州窑南路56号1幢</w:t>
      </w:r>
      <w:r>
        <w:rPr>
          <w:rFonts w:hint="eastAsia" w:ascii="仿宋" w:hAnsi="仿宋" w:eastAsia="仿宋" w:cs="仿宋"/>
          <w:b w:val="0"/>
          <w:bCs/>
          <w:color w:val="auto"/>
          <w:sz w:val="28"/>
          <w:szCs w:val="28"/>
          <w:lang w:eastAsia="zh-CN"/>
        </w:rPr>
        <w:t>原</w:t>
      </w:r>
      <w:r>
        <w:rPr>
          <w:rFonts w:hint="eastAsia" w:ascii="仿宋" w:hAnsi="仿宋" w:eastAsia="仿宋" w:cs="仿宋"/>
          <w:b w:val="0"/>
          <w:bCs/>
          <w:color w:val="auto"/>
          <w:sz w:val="28"/>
          <w:szCs w:val="28"/>
          <w:lang w:val="en-US" w:eastAsia="zh-CN"/>
        </w:rPr>
        <w:t>丰城</w:t>
      </w:r>
      <w:r>
        <w:rPr>
          <w:rFonts w:hint="eastAsia" w:ascii="仿宋" w:hAnsi="仿宋" w:eastAsia="仿宋" w:cs="仿宋"/>
          <w:b w:val="0"/>
          <w:bCs/>
          <w:color w:val="auto"/>
          <w:sz w:val="28"/>
          <w:szCs w:val="28"/>
          <w:lang w:eastAsia="zh-CN"/>
        </w:rPr>
        <w:t>市盐务局综合楼。</w:t>
      </w:r>
      <w:r>
        <w:rPr>
          <w:rFonts w:hint="eastAsia" w:ascii="仿宋" w:hAnsi="仿宋" w:eastAsia="仿宋" w:cs="仿宋"/>
          <w:color w:val="auto"/>
          <w:sz w:val="28"/>
          <w:szCs w:val="28"/>
          <w:lang w:val="en-US" w:eastAsia="zh-CN"/>
        </w:rPr>
        <w:t>始建于2007年，建筑</w:t>
      </w:r>
      <w:r>
        <w:rPr>
          <w:rFonts w:hint="eastAsia" w:ascii="仿宋" w:hAnsi="仿宋" w:eastAsia="仿宋" w:cs="仿宋"/>
          <w:b w:val="0"/>
          <w:bCs/>
          <w:color w:val="auto"/>
          <w:sz w:val="28"/>
          <w:szCs w:val="28"/>
          <w:lang w:val="en-US" w:eastAsia="zh-CN"/>
        </w:rPr>
        <w:t>面积1538.96平方米，共五层（无电梯）</w:t>
      </w:r>
      <w:r>
        <w:rPr>
          <w:rFonts w:hint="eastAsia" w:ascii="仿宋" w:hAnsi="仿宋" w:eastAsia="仿宋" w:cs="仿宋"/>
          <w:color w:val="auto"/>
          <w:sz w:val="28"/>
          <w:szCs w:val="28"/>
          <w:lang w:val="en-US" w:eastAsia="zh-CN"/>
        </w:rPr>
        <w:t>。大楼为公</w:t>
      </w:r>
      <w:r>
        <w:rPr>
          <w:rFonts w:hint="eastAsia" w:ascii="仿宋" w:hAnsi="仿宋" w:eastAsia="仿宋" w:cs="仿宋"/>
          <w:color w:val="auto"/>
          <w:sz w:val="28"/>
          <w:szCs w:val="28"/>
          <w:lang w:val="en-US" w:eastAsia="zh-CN"/>
        </w:rPr>
        <w:t>司自有资产，不动产权证号：赣（2018）丰城市不动产权第0012147号。</w:t>
      </w:r>
    </w:p>
    <w:p w14:paraId="11E904B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经营范围：符合现有土地性质用途，且房屋用途不得经营洗头，按摩，足浴城，歌舞厅，麻将馆等娱乐项目及类似项目，不得经营餐饮，酒店宾馆等项目及类似项目。保证经营范围符合国家有关法律法规。</w:t>
      </w:r>
    </w:p>
    <w:p w14:paraId="4449E7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招租方式：整体招租。</w:t>
      </w:r>
    </w:p>
    <w:p w14:paraId="687126C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租赁期限：5年（具体起止日期在租赁合同中约定）。</w:t>
      </w:r>
    </w:p>
    <w:p w14:paraId="44331C7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租金标准：最低竞租租金为20314元/月。</w:t>
      </w:r>
    </w:p>
    <w:p w14:paraId="1F194CF6">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租金增幅：年租金增长率不低于3%。</w:t>
      </w:r>
    </w:p>
    <w:p w14:paraId="6E01367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竞价方资格条件</w:t>
      </w:r>
    </w:p>
    <w:p w14:paraId="46DA075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中华人民共和国境内的具有独立法人资格的企业</w:t>
      </w:r>
      <w:r>
        <w:rPr>
          <w:rFonts w:hint="eastAsia" w:ascii="仿宋" w:hAnsi="仿宋" w:eastAsia="仿宋" w:cs="仿宋"/>
          <w:color w:val="auto"/>
          <w:sz w:val="28"/>
          <w:szCs w:val="28"/>
          <w:highlight w:val="none"/>
          <w:lang w:eastAsia="zh-CN"/>
        </w:rPr>
        <w:t>或其他组织</w:t>
      </w:r>
      <w:r>
        <w:rPr>
          <w:rFonts w:hint="eastAsia" w:ascii="仿宋" w:hAnsi="仿宋" w:eastAsia="仿宋" w:cs="仿宋"/>
          <w:color w:val="auto"/>
          <w:sz w:val="28"/>
          <w:szCs w:val="28"/>
          <w:highlight w:val="none"/>
        </w:rPr>
        <w:t>（报名时提供营业执照扫描件</w:t>
      </w:r>
      <w:r>
        <w:rPr>
          <w:rFonts w:hint="eastAsia" w:ascii="仿宋" w:hAnsi="仿宋" w:eastAsia="仿宋" w:cs="仿宋"/>
          <w:color w:val="auto"/>
          <w:sz w:val="28"/>
          <w:szCs w:val="28"/>
          <w:highlight w:val="none"/>
          <w:lang w:eastAsia="zh-CN"/>
        </w:rPr>
        <w:t>，个人参与须提供身份证复印件</w:t>
      </w:r>
      <w:r>
        <w:rPr>
          <w:rFonts w:hint="eastAsia" w:ascii="仿宋" w:hAnsi="仿宋" w:eastAsia="仿宋" w:cs="仿宋"/>
          <w:color w:val="auto"/>
          <w:sz w:val="28"/>
          <w:szCs w:val="28"/>
          <w:highlight w:val="none"/>
        </w:rPr>
        <w:t>）；</w:t>
      </w:r>
    </w:p>
    <w:p w14:paraId="12EC0A6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2.2具有良好的商业信誉</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04739C6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2.3具有履行合同所必须的设备和专业技术能力</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28B999F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2.4有依法缴纳税收和社会保障资金的良好记录</w:t>
      </w:r>
      <w:r>
        <w:rPr>
          <w:rFonts w:hint="eastAsia" w:ascii="仿宋" w:hAnsi="仿宋" w:eastAsia="仿宋" w:cs="仿宋"/>
          <w:color w:val="auto"/>
          <w:sz w:val="28"/>
          <w:szCs w:val="28"/>
          <w:highlight w:val="none"/>
          <w:lang w:eastAsia="zh-CN"/>
        </w:rPr>
        <w:t>（个人参与无需提供）</w:t>
      </w:r>
      <w:r>
        <w:rPr>
          <w:rFonts w:hint="eastAsia" w:ascii="仿宋" w:hAnsi="仿宋" w:eastAsia="仿宋" w:cs="仿宋"/>
          <w:color w:val="auto"/>
          <w:sz w:val="28"/>
          <w:szCs w:val="28"/>
          <w:highlight w:val="none"/>
        </w:rPr>
        <w:t>；</w:t>
      </w:r>
    </w:p>
    <w:p w14:paraId="6D1580C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2.5近三年内,在经营活动中没有重大违法记录</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57684E8C">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不接受联合体</w:t>
      </w:r>
      <w:r>
        <w:rPr>
          <w:rFonts w:hint="eastAsia" w:ascii="仿宋" w:hAnsi="仿宋" w:eastAsia="仿宋" w:cs="仿宋"/>
          <w:color w:val="auto"/>
          <w:sz w:val="28"/>
          <w:szCs w:val="28"/>
          <w:highlight w:val="none"/>
          <w:lang w:eastAsia="zh-CN"/>
        </w:rPr>
        <w:t>。</w:t>
      </w:r>
    </w:p>
    <w:p w14:paraId="79492B3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竞价方式</w:t>
      </w:r>
    </w:p>
    <w:p w14:paraId="36D2839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报名方式：线上报名（网址：</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"http://www.yingcaicheng.com)/"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https://www.jczh.com/，如关于注册账号或报名、竞价等涉及网站操作的内容需要咨询，可联系网站客服电话咨询，客服电话：400-8566100）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207F39A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报名费：0元；</w:t>
      </w:r>
    </w:p>
    <w:p w14:paraId="5C681D2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竞价方式：线上竞价（</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"http://www.yingcaicheng.com)/"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网址：https://www.jczh.com/）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5905621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竞价保证金：</w:t>
      </w:r>
      <w:r>
        <w:rPr>
          <w:rFonts w:hint="eastAsia" w:ascii="仿宋" w:hAnsi="仿宋" w:eastAsia="仿宋" w:cs="仿宋"/>
          <w:color w:val="auto"/>
          <w:sz w:val="28"/>
          <w:szCs w:val="28"/>
          <w:highlight w:val="none"/>
          <w:lang w:val="en-US" w:eastAsia="zh-CN"/>
        </w:rPr>
        <w:t>10000.00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壹万元整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（线上缴纳，网址：https://www.jczh.com/，未缴纳不得参与竞价）；</w:t>
      </w:r>
    </w:p>
    <w:p w14:paraId="7D64E37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起始价</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20314元/月</w:t>
      </w:r>
      <w:r>
        <w:rPr>
          <w:rFonts w:hint="eastAsia" w:ascii="仿宋" w:hAnsi="仿宋" w:eastAsia="仿宋" w:cs="仿宋"/>
          <w:color w:val="auto"/>
          <w:sz w:val="28"/>
          <w:szCs w:val="28"/>
          <w:highlight w:val="none"/>
        </w:rPr>
        <w:t>；</w:t>
      </w:r>
    </w:p>
    <w:p w14:paraId="41595FC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报价最小幅度：</w:t>
      </w:r>
      <w:r>
        <w:rPr>
          <w:rFonts w:hint="eastAsia" w:ascii="仿宋" w:hAnsi="仿宋" w:eastAsia="仿宋" w:cs="仿宋"/>
          <w:color w:val="auto"/>
          <w:sz w:val="28"/>
          <w:szCs w:val="28"/>
          <w:highlight w:val="none"/>
          <w:lang w:val="en-US" w:eastAsia="zh-CN"/>
        </w:rPr>
        <w:t>500元/月</w:t>
      </w:r>
      <w:r>
        <w:rPr>
          <w:rFonts w:hint="eastAsia" w:ascii="仿宋" w:hAnsi="仿宋" w:eastAsia="仿宋" w:cs="仿宋"/>
          <w:color w:val="auto"/>
          <w:sz w:val="28"/>
          <w:szCs w:val="28"/>
          <w:highlight w:val="none"/>
          <w:lang w:eastAsia="zh-CN"/>
        </w:rPr>
        <w:t>；</w:t>
      </w:r>
    </w:p>
    <w:p w14:paraId="4937D56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竞价方式：竞高价；</w:t>
      </w:r>
    </w:p>
    <w:p w14:paraId="6C6395E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竞价时长：</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分钟；</w:t>
      </w:r>
    </w:p>
    <w:p w14:paraId="41BA72D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超时竞价延长：</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分钟。 </w:t>
      </w:r>
    </w:p>
    <w:p w14:paraId="5BF50374">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竞价时间和地点</w:t>
      </w:r>
    </w:p>
    <w:p w14:paraId="09420C7A">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报名截止时间：202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上午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时00分；</w:t>
      </w:r>
    </w:p>
    <w:p w14:paraId="0F5460D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竞价开始时间：202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14:paraId="5A8241E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代理服务费</w:t>
      </w:r>
    </w:p>
    <w:p w14:paraId="5DA02A3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代理服务费按</w:t>
      </w:r>
      <w:r>
        <w:rPr>
          <w:rFonts w:hint="eastAsia" w:ascii="仿宋" w:hAnsi="仿宋" w:eastAsia="仿宋" w:cs="仿宋"/>
          <w:color w:val="auto"/>
          <w:sz w:val="28"/>
          <w:szCs w:val="28"/>
          <w:highlight w:val="none"/>
          <w:lang w:eastAsia="zh-CN"/>
        </w:rPr>
        <w:t>固定价人民币</w:t>
      </w:r>
      <w:r>
        <w:rPr>
          <w:rFonts w:hint="eastAsia" w:ascii="仿宋" w:hAnsi="仿宋" w:eastAsia="仿宋" w:cs="仿宋"/>
          <w:color w:val="auto"/>
          <w:sz w:val="28"/>
          <w:szCs w:val="28"/>
          <w:highlight w:val="none"/>
          <w:lang w:val="en-US" w:eastAsia="zh-CN"/>
        </w:rPr>
        <w:t>8000</w:t>
      </w:r>
      <w:r>
        <w:rPr>
          <w:rFonts w:hint="eastAsia" w:ascii="仿宋" w:hAnsi="仿宋" w:eastAsia="仿宋" w:cs="仿宋"/>
          <w:color w:val="auto"/>
          <w:sz w:val="28"/>
          <w:szCs w:val="28"/>
          <w:highlight w:val="none"/>
          <w:lang w:eastAsia="zh-CN"/>
        </w:rPr>
        <w:t>元整</w:t>
      </w:r>
      <w:r>
        <w:rPr>
          <w:rFonts w:hint="eastAsia" w:ascii="仿宋" w:hAnsi="仿宋" w:eastAsia="仿宋" w:cs="仿宋"/>
          <w:color w:val="auto"/>
          <w:sz w:val="28"/>
          <w:szCs w:val="28"/>
          <w:highlight w:val="none"/>
        </w:rPr>
        <w:t>一次性收取，精彩纵横软件使用费按</w:t>
      </w:r>
      <w:r>
        <w:rPr>
          <w:rFonts w:hint="eastAsia" w:ascii="仿宋" w:hAnsi="仿宋" w:eastAsia="仿宋" w:cs="仿宋"/>
          <w:color w:val="auto"/>
          <w:sz w:val="28"/>
          <w:szCs w:val="28"/>
          <w:highlight w:val="none"/>
          <w:lang w:val="en-US" w:eastAsia="zh-CN"/>
        </w:rPr>
        <w:t>5年</w:t>
      </w:r>
      <w:r>
        <w:rPr>
          <w:rFonts w:hint="eastAsia" w:ascii="仿宋" w:hAnsi="仿宋" w:eastAsia="仿宋" w:cs="仿宋"/>
          <w:color w:val="auto"/>
          <w:sz w:val="28"/>
          <w:szCs w:val="28"/>
          <w:highlight w:val="none"/>
        </w:rPr>
        <w:t>成交租金总额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5年</w:t>
      </w:r>
      <w:r>
        <w:rPr>
          <w:rFonts w:hint="eastAsia" w:ascii="仿宋" w:hAnsi="仿宋" w:eastAsia="仿宋" w:cs="仿宋"/>
          <w:color w:val="auto"/>
          <w:sz w:val="28"/>
          <w:szCs w:val="28"/>
          <w:highlight w:val="none"/>
        </w:rPr>
        <w:t>成交租金总额</w:t>
      </w:r>
      <w:r>
        <w:rPr>
          <w:rFonts w:hint="eastAsia" w:ascii="仿宋" w:hAnsi="仿宋" w:eastAsia="仿宋" w:cs="仿宋"/>
          <w:color w:val="auto"/>
          <w:sz w:val="28"/>
          <w:szCs w:val="28"/>
          <w:highlight w:val="none"/>
          <w:lang w:val="en-US" w:eastAsia="zh-CN"/>
        </w:rPr>
        <w:t>=月成交租金额*60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的0.8%</w:t>
      </w:r>
      <w:r>
        <w:rPr>
          <w:rFonts w:hint="eastAsia" w:ascii="仿宋" w:hAnsi="仿宋" w:eastAsia="仿宋" w:cs="仿宋"/>
          <w:color w:val="auto"/>
          <w:sz w:val="28"/>
          <w:szCs w:val="28"/>
          <w:highlight w:val="none"/>
          <w:lang w:eastAsia="zh-CN"/>
        </w:rPr>
        <w:t>（不超过人民币</w:t>
      </w:r>
      <w:r>
        <w:rPr>
          <w:rFonts w:hint="eastAsia" w:ascii="仿宋" w:hAnsi="仿宋" w:eastAsia="仿宋" w:cs="仿宋"/>
          <w:color w:val="auto"/>
          <w:sz w:val="28"/>
          <w:szCs w:val="28"/>
          <w:highlight w:val="none"/>
          <w:lang w:val="en-US" w:eastAsia="zh-CN"/>
        </w:rPr>
        <w:t>10000元整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由平台一次性收取。代理服务费和精彩纵横软件使用费均由成交竞价方支付，一旦收取后均不退还。</w:t>
      </w:r>
    </w:p>
    <w:p w14:paraId="6377E3A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现场踏勘</w:t>
      </w:r>
    </w:p>
    <w:p w14:paraId="75E1A33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报名成功的竞价方可于202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时00分前自行前往踏勘。</w:t>
      </w:r>
    </w:p>
    <w:p w14:paraId="659C49E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7.联系方式</w:t>
      </w:r>
      <w:bookmarkStart w:id="0" w:name="_GoBack"/>
      <w:bookmarkEnd w:id="0"/>
    </w:p>
    <w:p w14:paraId="49B9072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组织方：江西省新余江盐华康盐业有限公司</w:t>
      </w:r>
    </w:p>
    <w:p w14:paraId="3A501DB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联系人：谢先生</w:t>
      </w:r>
    </w:p>
    <w:p w14:paraId="6BFCF0B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联系电话：18607905568</w:t>
      </w:r>
    </w:p>
    <w:p w14:paraId="3FCF339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代理机构：江西国宜工程咨询有限公司</w:t>
      </w:r>
    </w:p>
    <w:p w14:paraId="6F7DCF6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联系人：付先生</w:t>
      </w:r>
    </w:p>
    <w:p w14:paraId="5FD1BF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联系电话：18170576112</w:t>
      </w:r>
    </w:p>
    <w:p w14:paraId="23611C75">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p>
    <w:p w14:paraId="6107CFA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方正仿宋简体" w:hAnsi="方正仿宋简体" w:eastAsia="方正仿宋简体" w:cs="方正仿宋简体"/>
          <w:color w:val="auto"/>
          <w:sz w:val="28"/>
          <w:szCs w:val="28"/>
          <w:highlight w:val="none"/>
        </w:rPr>
      </w:pPr>
    </w:p>
    <w:p w14:paraId="3D53CFD3">
      <w:pPr>
        <w:spacing w:line="240" w:lineRule="auto"/>
        <w:rPr>
          <w:rFonts w:hint="eastAsia"/>
          <w:color w:val="auto"/>
          <w:lang w:val="en-US" w:eastAsia="zh-CN"/>
        </w:rPr>
      </w:pPr>
    </w:p>
    <w:p w14:paraId="14EB84CD">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丰城盐业综合楼照片</w:t>
      </w:r>
    </w:p>
    <w:tbl>
      <w:tblPr>
        <w:tblStyle w:val="5"/>
        <w:tblW w:w="1058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290"/>
        <w:gridCol w:w="5290"/>
      </w:tblGrid>
      <w:tr w14:paraId="4F87D5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3" w:hRule="atLeast"/>
          <w:jc w:val="center"/>
        </w:trPr>
        <w:tc>
          <w:tcPr>
            <w:tcW w:w="5290" w:type="dxa"/>
            <w:noWrap w:val="0"/>
            <w:vAlign w:val="center"/>
          </w:tcPr>
          <w:p w14:paraId="73D18CFA">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203575" cy="2063115"/>
                  <wp:effectExtent l="0" t="0" r="15875" b="13335"/>
                  <wp:docPr id="13" name="图片 13" descr="微信图片_20251229132758_8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1229132758_8_33"/>
                          <pic:cNvPicPr>
                            <a:picLocks noChangeAspect="1"/>
                          </pic:cNvPicPr>
                        </pic:nvPicPr>
                        <pic:blipFill>
                          <a:blip r:embed="rId5"/>
                          <a:stretch>
                            <a:fillRect/>
                          </a:stretch>
                        </pic:blipFill>
                        <pic:spPr>
                          <a:xfrm>
                            <a:off x="0" y="0"/>
                            <a:ext cx="3203575" cy="2063115"/>
                          </a:xfrm>
                          <a:prstGeom prst="rect">
                            <a:avLst/>
                          </a:prstGeom>
                        </pic:spPr>
                      </pic:pic>
                    </a:graphicData>
                  </a:graphic>
                </wp:inline>
              </w:drawing>
            </w:r>
          </w:p>
        </w:tc>
        <w:tc>
          <w:tcPr>
            <w:tcW w:w="5290" w:type="dxa"/>
            <w:noWrap w:val="0"/>
            <w:vAlign w:val="center"/>
          </w:tcPr>
          <w:p w14:paraId="4BD155E6">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209925" cy="2407285"/>
                  <wp:effectExtent l="0" t="0" r="9525" b="12065"/>
                  <wp:docPr id="14" name="图片 14" descr="微信图片_20251229132825_11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1229132825_11_33"/>
                          <pic:cNvPicPr>
                            <a:picLocks noChangeAspect="1"/>
                          </pic:cNvPicPr>
                        </pic:nvPicPr>
                        <pic:blipFill>
                          <a:blip r:embed="rId6"/>
                          <a:stretch>
                            <a:fillRect/>
                          </a:stretch>
                        </pic:blipFill>
                        <pic:spPr>
                          <a:xfrm>
                            <a:off x="0" y="0"/>
                            <a:ext cx="3209925" cy="2407285"/>
                          </a:xfrm>
                          <a:prstGeom prst="rect">
                            <a:avLst/>
                          </a:prstGeom>
                        </pic:spPr>
                      </pic:pic>
                    </a:graphicData>
                  </a:graphic>
                </wp:inline>
              </w:drawing>
            </w:r>
          </w:p>
        </w:tc>
      </w:tr>
      <w:tr w14:paraId="59CCBA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9" w:hRule="atLeast"/>
          <w:jc w:val="center"/>
        </w:trPr>
        <w:tc>
          <w:tcPr>
            <w:tcW w:w="5290" w:type="dxa"/>
            <w:noWrap w:val="0"/>
            <w:vAlign w:val="center"/>
          </w:tcPr>
          <w:p w14:paraId="2604EA3A">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3E69BD4D">
            <w:pPr>
              <w:spacing w:line="240" w:lineRule="exact"/>
              <w:jc w:val="center"/>
              <w:rPr>
                <w:rFonts w:hint="default" w:ascii="仿宋_GB2312" w:eastAsia="仿宋_GB2312"/>
                <w:b/>
                <w:bCs/>
                <w:color w:val="auto"/>
                <w:szCs w:val="21"/>
                <w:lang w:val="en-US" w:eastAsia="zh-CN"/>
              </w:rPr>
            </w:pPr>
          </w:p>
        </w:tc>
      </w:tr>
      <w:tr w14:paraId="5388AC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59" w:hRule="atLeast"/>
          <w:jc w:val="center"/>
        </w:trPr>
        <w:tc>
          <w:tcPr>
            <w:tcW w:w="5290" w:type="dxa"/>
            <w:noWrap w:val="0"/>
            <w:vAlign w:val="center"/>
          </w:tcPr>
          <w:p w14:paraId="0CB5B70A">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209925" cy="2407285"/>
                  <wp:effectExtent l="0" t="0" r="9525" b="12065"/>
                  <wp:docPr id="15" name="图片 15" descr="微信图片_20251229133100_13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1229133100_13_33"/>
                          <pic:cNvPicPr>
                            <a:picLocks noChangeAspect="1"/>
                          </pic:cNvPicPr>
                        </pic:nvPicPr>
                        <pic:blipFill>
                          <a:blip r:embed="rId7"/>
                          <a:stretch>
                            <a:fillRect/>
                          </a:stretch>
                        </pic:blipFill>
                        <pic:spPr>
                          <a:xfrm>
                            <a:off x="0" y="0"/>
                            <a:ext cx="3209925" cy="2407285"/>
                          </a:xfrm>
                          <a:prstGeom prst="rect">
                            <a:avLst/>
                          </a:prstGeom>
                        </pic:spPr>
                      </pic:pic>
                    </a:graphicData>
                  </a:graphic>
                </wp:inline>
              </w:drawing>
            </w:r>
          </w:p>
        </w:tc>
        <w:tc>
          <w:tcPr>
            <w:tcW w:w="5290" w:type="dxa"/>
            <w:noWrap w:val="0"/>
            <w:vAlign w:val="center"/>
          </w:tcPr>
          <w:p w14:paraId="56A27420">
            <w:pPr>
              <w:jc w:val="center"/>
              <w:rPr>
                <w:rFonts w:hint="eastAsia" w:eastAsia="宋体"/>
                <w:b/>
                <w:bCs/>
                <w:color w:val="auto"/>
                <w:sz w:val="32"/>
                <w:szCs w:val="32"/>
                <w:lang w:eastAsia="zh-CN"/>
              </w:rPr>
            </w:pPr>
            <w:r>
              <w:rPr>
                <w:rFonts w:hint="eastAsia" w:eastAsia="宋体"/>
                <w:b/>
                <w:bCs/>
                <w:color w:val="auto"/>
                <w:sz w:val="32"/>
                <w:szCs w:val="32"/>
                <w:lang w:eastAsia="zh-CN"/>
              </w:rPr>
              <w:drawing>
                <wp:inline distT="0" distB="0" distL="114300" distR="114300">
                  <wp:extent cx="4243705" cy="3182620"/>
                  <wp:effectExtent l="0" t="0" r="17780" b="4445"/>
                  <wp:docPr id="16" name="图片 16" descr="微信图片_20251229133511_16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51229133511_16_33"/>
                          <pic:cNvPicPr>
                            <a:picLocks noChangeAspect="1"/>
                          </pic:cNvPicPr>
                        </pic:nvPicPr>
                        <pic:blipFill>
                          <a:blip r:embed="rId8"/>
                          <a:stretch>
                            <a:fillRect/>
                          </a:stretch>
                        </pic:blipFill>
                        <pic:spPr>
                          <a:xfrm rot="5400000">
                            <a:off x="0" y="0"/>
                            <a:ext cx="4243705" cy="3182620"/>
                          </a:xfrm>
                          <a:prstGeom prst="rect">
                            <a:avLst/>
                          </a:prstGeom>
                        </pic:spPr>
                      </pic:pic>
                    </a:graphicData>
                  </a:graphic>
                </wp:inline>
              </w:drawing>
            </w:r>
          </w:p>
        </w:tc>
      </w:tr>
      <w:tr w14:paraId="69BA5A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9" w:hRule="atLeast"/>
          <w:jc w:val="center"/>
        </w:trPr>
        <w:tc>
          <w:tcPr>
            <w:tcW w:w="5290" w:type="dxa"/>
            <w:noWrap w:val="0"/>
            <w:vAlign w:val="center"/>
          </w:tcPr>
          <w:p w14:paraId="7E662897">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77B411D0">
            <w:pPr>
              <w:spacing w:line="240" w:lineRule="exact"/>
              <w:jc w:val="center"/>
              <w:rPr>
                <w:rFonts w:hint="default" w:ascii="仿宋_GB2312" w:eastAsia="仿宋_GB2312"/>
                <w:color w:val="auto"/>
                <w:szCs w:val="21"/>
                <w:lang w:val="en-US" w:eastAsia="zh-CN"/>
              </w:rPr>
            </w:pPr>
          </w:p>
        </w:tc>
      </w:tr>
      <w:tr w14:paraId="098B96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31" w:hRule="atLeast"/>
          <w:jc w:val="center"/>
        </w:trPr>
        <w:tc>
          <w:tcPr>
            <w:tcW w:w="5290" w:type="dxa"/>
            <w:noWrap w:val="0"/>
            <w:vAlign w:val="center"/>
          </w:tcPr>
          <w:p w14:paraId="11F4EFE7">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209925" cy="2407285"/>
                  <wp:effectExtent l="0" t="0" r="9525" b="12065"/>
                  <wp:docPr id="17" name="图片 17" descr="微信图片_20251229133617_18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51229133617_18_33"/>
                          <pic:cNvPicPr>
                            <a:picLocks noChangeAspect="1"/>
                          </pic:cNvPicPr>
                        </pic:nvPicPr>
                        <pic:blipFill>
                          <a:blip r:embed="rId9"/>
                          <a:stretch>
                            <a:fillRect/>
                          </a:stretch>
                        </pic:blipFill>
                        <pic:spPr>
                          <a:xfrm>
                            <a:off x="0" y="0"/>
                            <a:ext cx="3209925" cy="2407285"/>
                          </a:xfrm>
                          <a:prstGeom prst="rect">
                            <a:avLst/>
                          </a:prstGeom>
                        </pic:spPr>
                      </pic:pic>
                    </a:graphicData>
                  </a:graphic>
                </wp:inline>
              </w:drawing>
            </w:r>
          </w:p>
        </w:tc>
        <w:tc>
          <w:tcPr>
            <w:tcW w:w="5290" w:type="dxa"/>
            <w:noWrap w:val="0"/>
            <w:vAlign w:val="center"/>
          </w:tcPr>
          <w:p w14:paraId="69BAA58F">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209925" cy="2407285"/>
                  <wp:effectExtent l="0" t="0" r="9525" b="12065"/>
                  <wp:docPr id="18" name="图片 18" descr="微信图片_20251229133623_19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1229133623_19_33"/>
                          <pic:cNvPicPr>
                            <a:picLocks noChangeAspect="1"/>
                          </pic:cNvPicPr>
                        </pic:nvPicPr>
                        <pic:blipFill>
                          <a:blip r:embed="rId10"/>
                          <a:stretch>
                            <a:fillRect/>
                          </a:stretch>
                        </pic:blipFill>
                        <pic:spPr>
                          <a:xfrm>
                            <a:off x="0" y="0"/>
                            <a:ext cx="3209925" cy="2407285"/>
                          </a:xfrm>
                          <a:prstGeom prst="rect">
                            <a:avLst/>
                          </a:prstGeom>
                        </pic:spPr>
                      </pic:pic>
                    </a:graphicData>
                  </a:graphic>
                </wp:inline>
              </w:drawing>
            </w:r>
          </w:p>
        </w:tc>
      </w:tr>
    </w:tbl>
    <w:p w14:paraId="37929CC1">
      <w:pPr>
        <w:bidi w:val="0"/>
        <w:spacing w:line="240" w:lineRule="auto"/>
        <w:rPr>
          <w:rFonts w:hint="eastAsia"/>
          <w:color w:val="auto"/>
          <w:lang w:val="en-US" w:eastAsia="zh-CN"/>
        </w:rPr>
      </w:pPr>
    </w:p>
    <w:p w14:paraId="1BF54028">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721E7CA9">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62FA1381">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224171F6">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7596E526">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779683FE">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65CF8E95">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5F71961B">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00EF1C07">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19DF7430">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3C5417C0">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p>
    <w:p w14:paraId="1DE81E78">
      <w:pPr>
        <w:pStyle w:val="3"/>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仿宋" w:hAnsi="仿宋" w:eastAsia="仿宋" w:cs="仿宋"/>
          <w:color w:val="auto"/>
          <w:sz w:val="32"/>
          <w:szCs w:val="32"/>
          <w:lang w:val="en-US" w:eastAsia="zh-CN"/>
        </w:rPr>
      </w:pPr>
    </w:p>
    <w:p w14:paraId="5DDCE3C1">
      <w:pPr>
        <w:rPr>
          <w:rFonts w:hint="eastAsia" w:ascii="仿宋" w:hAnsi="仿宋" w:eastAsia="仿宋" w:cs="仿宋"/>
          <w:color w:val="auto"/>
          <w:sz w:val="32"/>
          <w:szCs w:val="32"/>
          <w:lang w:val="en-US" w:eastAsia="zh-CN"/>
        </w:rPr>
      </w:pPr>
    </w:p>
    <w:p w14:paraId="6D224AD1">
      <w:pPr>
        <w:pStyle w:val="2"/>
        <w:rPr>
          <w:rFonts w:hint="eastAsia"/>
          <w:color w:val="auto"/>
          <w:lang w:val="en-US" w:eastAsia="zh-CN"/>
        </w:rPr>
      </w:pPr>
    </w:p>
    <w:p w14:paraId="1DE3D908">
      <w:pPr>
        <w:rPr>
          <w:rFonts w:hint="eastAsia"/>
          <w:color w:val="auto"/>
          <w:lang w:val="en-US" w:eastAsia="zh-CN"/>
        </w:rPr>
      </w:pPr>
    </w:p>
    <w:p w14:paraId="6216CEF6">
      <w:pPr>
        <w:pStyle w:val="3"/>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32"/>
          <w:szCs w:val="32"/>
          <w:lang w:val="en-US" w:eastAsia="zh-CN"/>
        </w:rPr>
        <w:t>竞价须知</w:t>
      </w:r>
    </w:p>
    <w:p w14:paraId="17ECD8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1.招租项目:丰城盐业综合楼一至五层整体出租，租赁期限5年。</w:t>
      </w:r>
    </w:p>
    <w:p w14:paraId="05BBE60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2.营范围:符合现有土地性质用途，且房屋用途不得经营洗头，按摩，足浴城，歌舞厅，麻将馆等娱乐项目及类似项目，不得经营餐饮，酒店宾馆等项目及类似项目。保证经营范围符合国家有关法律法规。</w:t>
      </w:r>
    </w:p>
    <w:p w14:paraId="51FFA2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3.起拍租赁单价20314元/月（含增值税），需开具增值税专用发票，无需另外缴纳物业费。</w:t>
      </w:r>
    </w:p>
    <w:p w14:paraId="1A5B3F9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4.租金增幅：年租金增长率不低于3%。</w:t>
      </w:r>
    </w:p>
    <w:p w14:paraId="320F28D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5.履约保证金:合同签订后7个工作日内缴纳3个月租金作为履约保证金（不计利息），合同正常履约届满结束后5个工作日内全额退还。</w:t>
      </w:r>
    </w:p>
    <w:p w14:paraId="6FABCB7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6.合同届满装修物归属条款:租赁合同终止后，承租方自费将所有承租方动产搬离租赁物，装修相关附属设施/设备等不动产属出租方所有，出租方无须给予承租方任何补偿。</w:t>
      </w:r>
    </w:p>
    <w:p w14:paraId="1A0572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7.免租期其他费用约定:装修期内承租方不须交纳租金但须依据实际发生额交纳装修管理费、电费、水费等相关费用。</w:t>
      </w:r>
    </w:p>
    <w:p w14:paraId="392D68B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8.租赁区域由承租方整体经营管理，未经出租方书面同意不得转租。</w:t>
      </w:r>
    </w:p>
    <w:p w14:paraId="71A455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9.租金支付：采取按每个年度为一期支付的方式向出租方预交付下一年度的租金。</w:t>
      </w:r>
    </w:p>
    <w:p w14:paraId="10F91D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10.标的物的面积、新旧、规格、质量、数量、状况、性能等均以现状出租，江西省新余江盐华康盐业有限公司不承担本标的物的瑕疵担保责任。</w:t>
      </w:r>
    </w:p>
    <w:p w14:paraId="3AE49B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11.参与</w:t>
      </w:r>
      <w:r>
        <w:rPr>
          <w:rFonts w:hint="eastAsia" w:ascii="仿宋" w:hAnsi="仿宋" w:eastAsia="仿宋" w:cs="仿宋"/>
          <w:color w:val="auto"/>
          <w:sz w:val="28"/>
          <w:szCs w:val="28"/>
          <w:highlight w:val="none"/>
        </w:rPr>
        <w:t>竞价方</w:t>
      </w:r>
      <w:r>
        <w:rPr>
          <w:rFonts w:hint="eastAsia" w:ascii="仿宋" w:hAnsi="仿宋" w:eastAsia="仿宋" w:cs="仿宋"/>
          <w:color w:val="auto"/>
          <w:sz w:val="28"/>
          <w:szCs w:val="28"/>
          <w:lang w:val="en-US" w:eastAsia="zh-CN"/>
        </w:rPr>
        <w:t>在竞价前自行做好尽职调查，</w:t>
      </w:r>
      <w:r>
        <w:rPr>
          <w:rFonts w:hint="eastAsia" w:ascii="仿宋" w:hAnsi="仿宋" w:eastAsia="仿宋" w:cs="仿宋"/>
          <w:color w:val="auto"/>
          <w:sz w:val="28"/>
          <w:szCs w:val="28"/>
          <w:highlight w:val="none"/>
        </w:rPr>
        <w:t>竞价方</w:t>
      </w:r>
      <w:r>
        <w:rPr>
          <w:rFonts w:hint="eastAsia" w:ascii="仿宋" w:hAnsi="仿宋" w:eastAsia="仿宋" w:cs="仿宋"/>
          <w:color w:val="auto"/>
          <w:sz w:val="28"/>
          <w:szCs w:val="28"/>
          <w:lang w:val="en-US" w:eastAsia="zh-CN"/>
        </w:rPr>
        <w:t>自行判断是否符合受让本项目资格。</w:t>
      </w:r>
    </w:p>
    <w:p w14:paraId="6906D6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 w:hAnsi="仿宋" w:eastAsia="仿宋" w:cs="仿宋"/>
          <w:color w:val="auto"/>
          <w:sz w:val="28"/>
          <w:szCs w:val="28"/>
          <w:lang w:val="en-US" w:eastAsia="zh-CN"/>
        </w:rPr>
        <w:t>12.未尽事宜在租赁合同中进行约定。</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70C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21B2"/>
    <w:rsid w:val="097479F9"/>
    <w:rsid w:val="098F6FF7"/>
    <w:rsid w:val="0E6E1608"/>
    <w:rsid w:val="17C46B0C"/>
    <w:rsid w:val="1DFC0351"/>
    <w:rsid w:val="2B5B15BB"/>
    <w:rsid w:val="31C7004F"/>
    <w:rsid w:val="33484DCE"/>
    <w:rsid w:val="364C4BF3"/>
    <w:rsid w:val="368B6699"/>
    <w:rsid w:val="38B722A6"/>
    <w:rsid w:val="3AB97FAA"/>
    <w:rsid w:val="3F2E5D9D"/>
    <w:rsid w:val="43BF663C"/>
    <w:rsid w:val="4D300B4F"/>
    <w:rsid w:val="4E9F6CB6"/>
    <w:rsid w:val="4FB90D87"/>
    <w:rsid w:val="574B3D54"/>
    <w:rsid w:val="5B3315B3"/>
    <w:rsid w:val="63035AB9"/>
    <w:rsid w:val="75246883"/>
    <w:rsid w:val="796A3B70"/>
    <w:rsid w:val="7A1F1FDC"/>
    <w:rsid w:val="7DC1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keepNext w:val="0"/>
      <w:keepLines w:val="0"/>
      <w:widowControl w:val="0"/>
      <w:suppressLineNumbers w:val="0"/>
      <w:spacing w:before="120" w:beforeAutospacing="0" w:after="0" w:afterAutospacing="0"/>
      <w:ind w:left="0" w:right="0"/>
      <w:jc w:val="both"/>
    </w:pPr>
    <w:rPr>
      <w:rFonts w:ascii="Arial" w:hAnsi="Arial" w:eastAsia="宋体" w:cs="Arial"/>
      <w:kern w:val="2"/>
      <w:sz w:val="24"/>
      <w:szCs w:val="24"/>
      <w:lang w:val="en-US" w:eastAsia="zh-CN" w:bidi="ar"/>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1603</Words>
  <Characters>1804</Characters>
  <Lines>0</Lines>
  <Paragraphs>0</Paragraphs>
  <TotalTime>5</TotalTime>
  <ScaleCrop>false</ScaleCrop>
  <LinksUpToDate>false</LinksUpToDate>
  <CharactersWithSpaces>1805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2025-12-26T04:39:00Z</dcterms:created>
  <dc:creator>Administrator</dc:creator>
  <cp:lastModifiedBy>付</cp:lastModifiedBy>
  <dcterms:modified xsi:type="dcterms:W3CDTF">2026-02-03T00:40:12Z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eyJoZGlkIjoiMjc2NDY0ZTUxNTFhNzNkZWFjZDRlYzlhNjlhZjZjM2QiLCJ1c2VySWQiOiI1MTE2NDUzMDAifQ==</vt:lpwstr>
  </property>
  <property fmtid="{D5CDD505-2E9C-101B-9397-08002B2CF9AE}" pid="4" name="ICV">
    <vt:lpwstr>664522B4B385445D8321D99C5DA6FFAE_13</vt:lpwstr>
  </property>
</Properties>
</file>