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2"/>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Theme="minorEastAsia" w:hAnsiTheme="minorEastAsia" w:eastAsiaTheme="minorEastAsia" w:cstheme="minorEastAsia"/>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1</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本</w:t>
      </w:r>
      <w:r>
        <w:rPr>
          <w:rFonts w:hint="eastAsia" w:asciiTheme="minorEastAsia" w:hAnsiTheme="minorEastAsia" w:eastAsiaTheme="minorEastAsia" w:cstheme="minorEastAsia"/>
          <w:snapToGrid w:val="0"/>
          <w:color w:val="000000"/>
          <w:kern w:val="0"/>
          <w:sz w:val="28"/>
          <w:szCs w:val="28"/>
          <w:lang w:val="en-US" w:eastAsia="zh-CN"/>
        </w:rPr>
        <w:t>项目</w:t>
      </w:r>
      <w:r>
        <w:rPr>
          <w:rFonts w:hint="eastAsia" w:asciiTheme="minorEastAsia" w:hAnsiTheme="minorEastAsia" w:eastAsiaTheme="minorEastAsia" w:cstheme="minorEastAsia"/>
          <w:snapToGrid w:val="0"/>
          <w:color w:val="000000"/>
          <w:kern w:val="0"/>
          <w:sz w:val="28"/>
          <w:szCs w:val="28"/>
          <w:lang w:eastAsia="en-US"/>
        </w:rPr>
        <w:t>需求</w:t>
      </w:r>
      <w:r>
        <w:rPr>
          <w:rFonts w:hint="eastAsia" w:asciiTheme="minorEastAsia" w:hAnsiTheme="minorEastAsia" w:eastAsiaTheme="minorEastAsia" w:cstheme="minorEastAsia"/>
          <w:snapToGrid w:val="0"/>
          <w:color w:val="000000"/>
          <w:kern w:val="0"/>
          <w:sz w:val="28"/>
          <w:szCs w:val="28"/>
          <w:lang w:val="en-US" w:eastAsia="zh-CN"/>
        </w:rPr>
        <w:t>涉及</w:t>
      </w:r>
      <w:r>
        <w:rPr>
          <w:rFonts w:hint="eastAsia" w:asciiTheme="minorEastAsia" w:hAnsiTheme="minorEastAsia" w:eastAsiaTheme="minorEastAsia" w:cstheme="minorEastAsia"/>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2</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3</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Theme="minorEastAsia" w:hAnsiTheme="minorEastAsia" w:eastAsiaTheme="minorEastAsia" w:cstheme="minorEastAsia"/>
          <w:snapToGrid w:val="0"/>
          <w:color w:val="000000"/>
          <w:kern w:val="0"/>
          <w:sz w:val="28"/>
          <w:szCs w:val="28"/>
          <w:lang w:val="en-US" w:eastAsia="zh-CN"/>
        </w:rPr>
        <w:t>或性价比</w:t>
      </w:r>
      <w:r>
        <w:rPr>
          <w:rFonts w:hint="eastAsia" w:asciiTheme="minorEastAsia" w:hAnsiTheme="minorEastAsia" w:eastAsiaTheme="minorEastAsia" w:cstheme="minorEastAsia"/>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4</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5</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b/>
          <w:bCs/>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000000"/>
          <w:kern w:val="0"/>
          <w:sz w:val="28"/>
          <w:szCs w:val="28"/>
          <w:lang w:eastAsia="en-US"/>
        </w:rPr>
        <w:t>6</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5A94A2E8">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b/>
          <w:bCs/>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kern w:val="0"/>
          <w:sz w:val="28"/>
          <w:szCs w:val="28"/>
          <w:highlight w:val="none"/>
          <w:lang w:eastAsia="en-US"/>
        </w:rPr>
        <w:t>7</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auto"/>
          <w:kern w:val="0"/>
          <w:sz w:val="28"/>
          <w:szCs w:val="28"/>
          <w:highlight w:val="none"/>
          <w:lang w:eastAsia="en-US"/>
        </w:rPr>
        <w:t>标记“■”号为重要</w:t>
      </w:r>
      <w:r>
        <w:rPr>
          <w:rFonts w:hint="eastAsia" w:asciiTheme="minorEastAsia" w:hAnsiTheme="minorEastAsia" w:eastAsiaTheme="minorEastAsia" w:cstheme="minorEastAsia"/>
          <w:snapToGrid w:val="0"/>
          <w:color w:val="auto"/>
          <w:kern w:val="0"/>
          <w:sz w:val="28"/>
          <w:szCs w:val="28"/>
          <w:highlight w:val="none"/>
          <w:lang w:val="en-US" w:eastAsia="zh-CN"/>
        </w:rPr>
        <w:t>技术</w:t>
      </w:r>
      <w:r>
        <w:rPr>
          <w:rFonts w:hint="eastAsia" w:asciiTheme="minorEastAsia" w:hAnsiTheme="minorEastAsia" w:eastAsiaTheme="minorEastAsia" w:cstheme="minorEastAsia"/>
          <w:snapToGrid w:val="0"/>
          <w:color w:val="auto"/>
          <w:kern w:val="0"/>
          <w:sz w:val="28"/>
          <w:szCs w:val="28"/>
          <w:highlight w:val="none"/>
          <w:lang w:eastAsia="en-US"/>
        </w:rPr>
        <w:t>参数，未标注符号为</w:t>
      </w:r>
      <w:r>
        <w:rPr>
          <w:rFonts w:hint="eastAsia" w:asciiTheme="minorEastAsia" w:hAnsiTheme="minorEastAsia" w:eastAsiaTheme="minorEastAsia" w:cstheme="minorEastAsia"/>
          <w:snapToGrid w:val="0"/>
          <w:color w:val="auto"/>
          <w:kern w:val="0"/>
          <w:sz w:val="28"/>
          <w:szCs w:val="28"/>
          <w:highlight w:val="none"/>
          <w:lang w:val="en-US" w:eastAsia="zh-CN"/>
        </w:rPr>
        <w:t>普通</w:t>
      </w:r>
      <w:r>
        <w:rPr>
          <w:rFonts w:hint="eastAsia" w:asciiTheme="minorEastAsia" w:hAnsiTheme="minorEastAsia" w:eastAsiaTheme="minorEastAsia" w:cstheme="minorEastAsia"/>
          <w:snapToGrid w:val="0"/>
          <w:color w:val="auto"/>
          <w:kern w:val="0"/>
          <w:sz w:val="28"/>
          <w:szCs w:val="28"/>
          <w:highlight w:val="none"/>
          <w:lang w:eastAsia="en-US"/>
        </w:rPr>
        <w:t>技术参数</w:t>
      </w:r>
      <w:r>
        <w:rPr>
          <w:rFonts w:hint="eastAsia" w:asciiTheme="minorEastAsia" w:hAnsiTheme="minorEastAsia" w:eastAsiaTheme="minorEastAsia" w:cstheme="minorEastAsia"/>
          <w:snapToGrid w:val="0"/>
          <w:color w:val="auto"/>
          <w:kern w:val="0"/>
          <w:sz w:val="28"/>
          <w:szCs w:val="28"/>
          <w:highlight w:val="none"/>
          <w:lang w:eastAsia="zh-CN"/>
        </w:rPr>
        <w:t>，重要技术参数和普通技术参数不满足仅作扣分处理。重要技术参数和普通技术参数</w:t>
      </w:r>
      <w:r>
        <w:rPr>
          <w:rFonts w:hint="eastAsia" w:asciiTheme="minorEastAsia" w:hAnsiTheme="minorEastAsia" w:eastAsiaTheme="minorEastAsia" w:cstheme="minorEastAsia"/>
          <w:b/>
          <w:bCs/>
          <w:snapToGrid w:val="0"/>
          <w:color w:val="auto"/>
          <w:kern w:val="0"/>
          <w:sz w:val="28"/>
          <w:szCs w:val="28"/>
          <w:highlight w:val="none"/>
          <w:lang w:val="en-US" w:eastAsia="zh-CN"/>
        </w:rPr>
        <w:t>合计</w:t>
      </w:r>
      <w:r>
        <w:rPr>
          <w:rFonts w:hint="eastAsia" w:asciiTheme="minorEastAsia" w:hAnsiTheme="minorEastAsia" w:eastAsiaTheme="minorEastAsia" w:cstheme="minorEastAsia"/>
          <w:b/>
          <w:bCs/>
          <w:snapToGrid w:val="0"/>
          <w:color w:val="auto"/>
          <w:kern w:val="0"/>
          <w:sz w:val="28"/>
          <w:szCs w:val="28"/>
          <w:highlight w:val="none"/>
          <w:lang w:eastAsia="en-US"/>
        </w:rPr>
        <w:t>发生负偏离或不响应达</w:t>
      </w:r>
      <w:r>
        <w:rPr>
          <w:rFonts w:hint="eastAsia" w:asciiTheme="minorEastAsia" w:hAnsiTheme="minorEastAsia" w:eastAsiaTheme="minorEastAsia" w:cstheme="minorEastAsia"/>
          <w:b/>
          <w:bCs/>
          <w:snapToGrid w:val="0"/>
          <w:color w:val="auto"/>
          <w:kern w:val="0"/>
          <w:sz w:val="28"/>
          <w:szCs w:val="28"/>
          <w:highlight w:val="none"/>
          <w:lang w:val="en-US" w:eastAsia="zh-CN"/>
        </w:rPr>
        <w:t>3</w:t>
      </w:r>
      <w:r>
        <w:rPr>
          <w:rFonts w:hint="eastAsia" w:asciiTheme="minorEastAsia" w:hAnsiTheme="minorEastAsia" w:eastAsiaTheme="minorEastAsia" w:cstheme="minorEastAsia"/>
          <w:b/>
          <w:bCs/>
          <w:snapToGrid w:val="0"/>
          <w:color w:val="auto"/>
          <w:kern w:val="0"/>
          <w:sz w:val="28"/>
          <w:szCs w:val="28"/>
          <w:highlight w:val="none"/>
          <w:lang w:eastAsia="en-US"/>
        </w:rPr>
        <w:t>项（含）以上的，投标无效。</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000000"/>
          <w:kern w:val="0"/>
          <w:sz w:val="28"/>
          <w:szCs w:val="28"/>
          <w:lang w:eastAsia="en-US"/>
        </w:rPr>
        <w:t>8</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实质性参数、重要参数（标注“▲”、“■”的条款）需提供证明材料：</w:t>
      </w:r>
      <w:r>
        <w:rPr>
          <w:rFonts w:hint="eastAsia" w:asciiTheme="minorEastAsia" w:hAnsiTheme="minorEastAsia" w:eastAsiaTheme="minorEastAsia" w:cstheme="minorEastAsia"/>
          <w:b/>
          <w:bCs/>
          <w:snapToGrid w:val="0"/>
          <w:color w:val="000000"/>
          <w:kern w:val="0"/>
          <w:sz w:val="28"/>
          <w:szCs w:val="28"/>
          <w:lang w:eastAsia="en-US"/>
        </w:rPr>
        <w:t>产品彩页或说明书或技术白皮书或厂家确认盖章有该参数功能的证明材料，否则评标委员会将可能不予以认可</w:t>
      </w:r>
      <w:r>
        <w:rPr>
          <w:rFonts w:hint="eastAsia" w:asciiTheme="minorEastAsia" w:hAnsiTheme="minorEastAsia" w:eastAsiaTheme="minorEastAsia" w:cstheme="minorEastAsia"/>
          <w:b/>
          <w:bCs/>
          <w:snapToGrid w:val="0"/>
          <w:color w:val="auto"/>
          <w:kern w:val="0"/>
          <w:sz w:val="28"/>
          <w:szCs w:val="28"/>
          <w:highlight w:val="none"/>
          <w:lang w:eastAsia="en-US"/>
        </w:rPr>
        <w:t>，并按照负偏离认。</w:t>
      </w:r>
    </w:p>
    <w:p w14:paraId="605E9EA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9</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招标文件中所要求提供的证明材料，如为英文文本的请提供中文翻译文本。</w:t>
      </w: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b/>
          <w:snapToGrid w:val="0"/>
          <w:color w:val="000000"/>
          <w:kern w:val="0"/>
          <w:sz w:val="28"/>
          <w:szCs w:val="28"/>
          <w:lang w:eastAsia="en-US"/>
        </w:rPr>
        <w:t>二、技术要求</w:t>
      </w:r>
    </w:p>
    <w:tbl>
      <w:tblPr>
        <w:tblStyle w:val="3"/>
        <w:tblW w:w="103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777"/>
        <w:gridCol w:w="1038"/>
        <w:gridCol w:w="8025"/>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0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i w:val="0"/>
                <w:iCs w:val="0"/>
                <w:snapToGrid w:val="0"/>
                <w:color w:val="000000"/>
                <w:kern w:val="0"/>
                <w:sz w:val="28"/>
                <w:szCs w:val="28"/>
                <w:u w:val="none"/>
                <w:lang w:eastAsia="en-US"/>
              </w:rPr>
            </w:pPr>
            <w:r>
              <w:rPr>
                <w:rFonts w:hint="eastAsia" w:asciiTheme="minorEastAsia" w:hAnsiTheme="minorEastAsia" w:eastAsiaTheme="minorEastAsia" w:cstheme="minorEastAsia"/>
                <w:b w:val="0"/>
                <w:bCs w:val="0"/>
                <w:snapToGrid w:val="0"/>
                <w:color w:val="000000"/>
                <w:spacing w:val="-4"/>
                <w:kern w:val="0"/>
                <w:sz w:val="28"/>
                <w:szCs w:val="28"/>
                <w:lang w:eastAsia="en-US"/>
              </w:rPr>
              <w:t>一、项目技术参数及</w:t>
            </w:r>
            <w:r>
              <w:rPr>
                <w:rFonts w:hint="eastAsia" w:asciiTheme="minorEastAsia" w:hAnsiTheme="minorEastAsia" w:eastAsiaTheme="minorEastAsia" w:cstheme="minorEastAsia"/>
                <w:b w:val="0"/>
                <w:bCs w:val="0"/>
                <w:snapToGrid w:val="0"/>
                <w:color w:val="000000"/>
                <w:spacing w:val="-4"/>
                <w:kern w:val="0"/>
                <w:sz w:val="28"/>
                <w:szCs w:val="28"/>
                <w:lang w:val="en-US" w:eastAsia="zh-CN"/>
              </w:rPr>
              <w:t>主要配置</w:t>
            </w:r>
            <w:r>
              <w:rPr>
                <w:rFonts w:hint="eastAsia" w:asciiTheme="minorEastAsia" w:hAnsiTheme="minorEastAsia" w:eastAsiaTheme="minorEastAsia" w:cstheme="minorEastAsia"/>
                <w:b w:val="0"/>
                <w:bCs w:val="0"/>
                <w:snapToGrid w:val="0"/>
                <w:color w:val="000000"/>
                <w:spacing w:val="-4"/>
                <w:kern w:val="0"/>
                <w:sz w:val="28"/>
                <w:szCs w:val="28"/>
                <w:lang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设备</w:t>
            </w:r>
            <w:r>
              <w:rPr>
                <w:rFonts w:hint="eastAsia" w:asciiTheme="minorEastAsia" w:hAnsiTheme="minorEastAsia" w:eastAsiaTheme="minorEastAsia" w:cstheme="minorEastAsia"/>
                <w:b w:val="0"/>
                <w:bCs w:val="0"/>
                <w:spacing w:val="-4"/>
                <w:sz w:val="28"/>
                <w:szCs w:val="28"/>
              </w:rPr>
              <w:t>名称</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数量及单位</w:t>
            </w:r>
          </w:p>
        </w:tc>
        <w:tc>
          <w:tcPr>
            <w:tcW w:w="8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E7E">
            <w:pPr>
              <w:keepNext/>
              <w:keepLines/>
              <w:pageBreakBefore w:val="0"/>
              <w:widowControl w:val="0"/>
              <w:kinsoku/>
              <w:wordWrap w:val="0"/>
              <w:overflowPunct/>
              <w:topLinePunct/>
              <w:autoSpaceDE/>
              <w:autoSpaceDN/>
              <w:bidi w:val="0"/>
              <w:adjustRightInd w:val="0"/>
              <w:snapToGrid w:val="0"/>
              <w:spacing w:line="310" w:lineRule="auto"/>
              <w:jc w:val="center"/>
              <w:textAlignment w:val="baseline"/>
              <w:rPr>
                <w:rFonts w:hint="eastAsia" w:asciiTheme="minorEastAsia" w:hAnsiTheme="minorEastAsia" w:eastAsiaTheme="minorEastAsia" w:cstheme="minorEastAsia"/>
                <w:b w:val="0"/>
                <w:bCs w:val="0"/>
                <w:snapToGrid w:val="0"/>
                <w:color w:val="000000"/>
                <w:kern w:val="0"/>
                <w:sz w:val="28"/>
                <w:szCs w:val="28"/>
                <w:lang w:eastAsia="en-US"/>
              </w:rPr>
            </w:pPr>
          </w:p>
          <w:p w14:paraId="1CFF1D0A">
            <w:pPr>
              <w:pStyle w:val="5"/>
              <w:keepNext/>
              <w:keepLines/>
              <w:pageBreakBefore w:val="0"/>
              <w:widowControl w:val="0"/>
              <w:kinsoku/>
              <w:wordWrap w:val="0"/>
              <w:overflowPunct/>
              <w:topLinePunct/>
              <w:autoSpaceDE/>
              <w:autoSpaceDN/>
              <w:bidi w:val="0"/>
              <w:adjustRightInd w:val="0"/>
              <w:snapToGrid w:val="0"/>
              <w:spacing w:before="72" w:line="220" w:lineRule="auto"/>
              <w:ind w:left="2829" w:leftChars="0" w:firstLine="270" w:firstLineChars="100"/>
              <w:jc w:val="both"/>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5"/>
                <w:sz w:val="28"/>
                <w:szCs w:val="28"/>
              </w:rPr>
              <w:t>技术</w:t>
            </w:r>
            <w:r>
              <w:rPr>
                <w:rFonts w:hint="eastAsia" w:asciiTheme="minorEastAsia" w:hAnsiTheme="minorEastAsia" w:eastAsiaTheme="minorEastAsia" w:cstheme="minorEastAsia"/>
                <w:b w:val="0"/>
                <w:bCs w:val="0"/>
                <w:spacing w:val="-5"/>
                <w:sz w:val="28"/>
                <w:szCs w:val="28"/>
                <w:lang w:val="en-US" w:eastAsia="zh-CN"/>
              </w:rPr>
              <w:t>参数</w:t>
            </w:r>
            <w:r>
              <w:rPr>
                <w:rFonts w:hint="eastAsia" w:asciiTheme="minorEastAsia" w:hAnsiTheme="minorEastAsia" w:eastAsiaTheme="minorEastAsia" w:cstheme="minorEastAsia"/>
                <w:b w:val="0"/>
                <w:bCs w:val="0"/>
                <w:spacing w:val="-5"/>
                <w:sz w:val="28"/>
                <w:szCs w:val="28"/>
              </w:rPr>
              <w:t>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3C6482D6">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1DCAE87B">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4E29948">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lang w:val="en-US" w:eastAsia="zh-CN"/>
              </w:rPr>
              <w:t>1</w:t>
            </w:r>
          </w:p>
          <w:p w14:paraId="76D5B6F3">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4F07C0CF">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6A8166EE">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9E6864F">
            <w:pPr>
              <w:pStyle w:val="5"/>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8CED9A4">
            <w:pPr>
              <w:pStyle w:val="5"/>
              <w:keepNext/>
              <w:keepLines/>
              <w:pageBreakBefore w:val="0"/>
              <w:widowControl w:val="0"/>
              <w:kinsoku/>
              <w:wordWrap w:val="0"/>
              <w:overflowPunct/>
              <w:topLinePunct/>
              <w:autoSpaceDE/>
              <w:autoSpaceDN/>
              <w:bidi w:val="0"/>
              <w:adjustRightInd w:val="0"/>
              <w:snapToGrid w:val="0"/>
              <w:spacing w:before="71" w:line="221" w:lineRule="auto"/>
              <w:jc w:val="both"/>
              <w:textAlignment w:val="baseline"/>
              <w:rPr>
                <w:rFonts w:hint="default" w:asciiTheme="minorEastAsia" w:hAnsiTheme="minorEastAsia" w:eastAsiaTheme="minorEastAsia" w:cstheme="minorEastAsia"/>
                <w:b w:val="0"/>
                <w:bCs w:val="0"/>
                <w:spacing w:val="-4"/>
                <w:sz w:val="28"/>
                <w:szCs w:val="28"/>
                <w:lang w:val="en-US" w:eastAsia="zh-CN"/>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9BD">
            <w:pPr>
              <w:pStyle w:val="5"/>
              <w:keepNext/>
              <w:keepLines/>
              <w:pageBreakBefore w:val="0"/>
              <w:widowControl w:val="0"/>
              <w:kinsoku/>
              <w:wordWrap w:val="0"/>
              <w:overflowPunct/>
              <w:topLinePunct/>
              <w:autoSpaceDE/>
              <w:autoSpaceDN/>
              <w:bidi w:val="0"/>
              <w:adjustRightInd w:val="0"/>
              <w:snapToGrid w:val="0"/>
              <w:spacing w:before="71" w:line="221" w:lineRule="auto"/>
              <w:jc w:val="both"/>
              <w:textAlignment w:val="baseline"/>
              <w:rPr>
                <w:rFonts w:hint="default"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lang w:val="en-US" w:eastAsia="zh-CN"/>
              </w:rPr>
              <w:t>床边监护仪</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9B5">
            <w:pPr>
              <w:pStyle w:val="5"/>
              <w:keepNext/>
              <w:keepLines/>
              <w:pageBreakBefore w:val="0"/>
              <w:widowControl w:val="0"/>
              <w:kinsoku/>
              <w:wordWrap w:val="0"/>
              <w:overflowPunct/>
              <w:topLinePunct/>
              <w:autoSpaceDE/>
              <w:autoSpaceDN/>
              <w:bidi w:val="0"/>
              <w:adjustRightInd w:val="0"/>
              <w:snapToGrid w:val="0"/>
              <w:spacing w:before="164" w:line="298" w:lineRule="auto"/>
              <w:ind w:right="119" w:rightChars="0"/>
              <w:jc w:val="both"/>
              <w:textAlignment w:val="baseline"/>
              <w:rPr>
                <w:rFonts w:hint="default" w:asciiTheme="minorEastAsia" w:hAnsiTheme="minorEastAsia" w:eastAsiaTheme="minorEastAsia" w:cstheme="minorEastAsia"/>
                <w:b w:val="0"/>
                <w:bCs w:val="0"/>
                <w:spacing w:val="-5"/>
                <w:sz w:val="28"/>
                <w:szCs w:val="28"/>
                <w:lang w:val="en-US" w:eastAsia="zh-CN"/>
              </w:rPr>
            </w:pPr>
            <w:r>
              <w:rPr>
                <w:rFonts w:hint="eastAsia" w:asciiTheme="minorEastAsia" w:hAnsiTheme="minorEastAsia" w:eastAsiaTheme="minorEastAsia" w:cstheme="minorEastAsia"/>
                <w:b w:val="0"/>
                <w:bCs w:val="0"/>
                <w:spacing w:val="-5"/>
                <w:sz w:val="28"/>
                <w:szCs w:val="28"/>
                <w:lang w:val="en-US" w:eastAsia="zh-CN"/>
              </w:rPr>
              <w:t>3台</w:t>
            </w:r>
          </w:p>
        </w:tc>
        <w:tc>
          <w:tcPr>
            <w:tcW w:w="8025" w:type="dxa"/>
            <w:tcBorders>
              <w:top w:val="single" w:color="000000" w:sz="4" w:space="0"/>
              <w:left w:val="single" w:color="000000" w:sz="4" w:space="0"/>
              <w:bottom w:val="single" w:color="000000" w:sz="4" w:space="0"/>
              <w:right w:val="single" w:color="000000" w:sz="4" w:space="0"/>
            </w:tcBorders>
            <w:shd w:val="clear" w:color="auto" w:fill="auto"/>
            <w:vAlign w:val="top"/>
          </w:tcPr>
          <w:p w14:paraId="4B0CF98C">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rPr>
              <w:t>1、一体化便携监护仪，整机无风扇设计。</w:t>
            </w:r>
          </w:p>
          <w:p w14:paraId="45FEE65B">
            <w:pPr>
              <w:autoSpaceDE w:val="0"/>
              <w:autoSpaceDN w:val="0"/>
              <w:adjustRightInd w:val="0"/>
              <w:spacing w:line="360" w:lineRule="auto"/>
              <w:ind w:left="420" w:leftChars="200"/>
              <w:jc w:val="left"/>
              <w:rPr>
                <w:rFonts w:ascii="宋体" w:hAnsi="宋体" w:eastAsia="宋体" w:cs="宋体"/>
                <w:kern w:val="0"/>
                <w:sz w:val="24"/>
              </w:rPr>
            </w:pPr>
            <w:r>
              <w:rPr>
                <w:rFonts w:hint="eastAsia" w:ascii="宋体" w:hAnsi="宋体" w:eastAsia="宋体" w:cs="Times New Roman"/>
                <w:sz w:val="24"/>
              </w:rPr>
              <w:t>2、配置</w:t>
            </w:r>
            <w:r>
              <w:rPr>
                <w:rFonts w:hint="eastAsia" w:ascii="宋体" w:hAnsi="宋体" w:eastAsia="宋体" w:cs="Times New Roman"/>
                <w:sz w:val="24"/>
                <w:lang w:val="en-US" w:eastAsia="zh-CN"/>
              </w:rPr>
              <w:t>把手</w:t>
            </w:r>
            <w:r>
              <w:rPr>
                <w:rFonts w:hint="eastAsia" w:ascii="宋体" w:hAnsi="宋体" w:eastAsia="宋体" w:cs="Times New Roman"/>
                <w:sz w:val="24"/>
              </w:rPr>
              <w:t>,方便移动。</w:t>
            </w:r>
            <w:r>
              <w:rPr>
                <w:rFonts w:hint="eastAsia" w:ascii="宋体" w:hAnsi="宋体" w:eastAsia="宋体" w:cs="宋体"/>
                <w:kern w:val="0"/>
                <w:sz w:val="24"/>
              </w:rPr>
              <w:t xml:space="preserve"> </w:t>
            </w:r>
          </w:p>
          <w:p w14:paraId="6D81782E">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宋体"/>
                <w:sz w:val="24"/>
              </w:rPr>
              <w:t>▲</w:t>
            </w:r>
            <w:r>
              <w:rPr>
                <w:rFonts w:hint="eastAsia" w:ascii="宋体" w:hAnsi="宋体" w:eastAsia="宋体" w:cs="Times New Roman"/>
                <w:sz w:val="24"/>
              </w:rPr>
              <w:t>3、≥</w:t>
            </w:r>
            <w:r>
              <w:rPr>
                <w:rFonts w:hint="default" w:ascii="宋体" w:hAnsi="宋体" w:eastAsia="宋体" w:cs="Times New Roman"/>
                <w:sz w:val="24"/>
                <w:lang w:val="en-US"/>
              </w:rPr>
              <w:t>10</w:t>
            </w:r>
            <w:r>
              <w:rPr>
                <w:rFonts w:hint="eastAsia" w:ascii="宋体" w:hAnsi="宋体" w:eastAsia="宋体" w:cs="Times New Roman"/>
                <w:sz w:val="24"/>
              </w:rPr>
              <w:t>英寸彩</w:t>
            </w:r>
            <w:r>
              <w:rPr>
                <w:rFonts w:ascii="宋体" w:hAnsi="宋体" w:eastAsia="宋体" w:cs="Times New Roman"/>
                <w:sz w:val="24"/>
              </w:rPr>
              <w:t>色</w:t>
            </w:r>
            <w:r>
              <w:rPr>
                <w:rFonts w:hint="eastAsia" w:ascii="宋体" w:hAnsi="宋体" w:eastAsia="宋体" w:cs="Times New Roman"/>
                <w:sz w:val="24"/>
              </w:rPr>
              <w:t>液晶触摸</w:t>
            </w:r>
            <w:r>
              <w:rPr>
                <w:rFonts w:hint="eastAsia" w:ascii="宋体" w:hAnsi="宋体" w:eastAsia="宋体" w:cs="Times New Roman"/>
                <w:sz w:val="24"/>
                <w:lang w:val="en-US" w:eastAsia="zh-CN"/>
              </w:rPr>
              <w:t>电容</w:t>
            </w:r>
            <w:r>
              <w:rPr>
                <w:rFonts w:hint="eastAsia" w:ascii="宋体" w:hAnsi="宋体" w:eastAsia="宋体" w:cs="Times New Roman"/>
                <w:sz w:val="24"/>
              </w:rPr>
              <w:t>屏，分辨率</w:t>
            </w:r>
            <w:r>
              <w:rPr>
                <w:rFonts w:hint="eastAsia" w:ascii="宋体" w:hAnsi="宋体" w:eastAsia="宋体" w:cs="宋体"/>
                <w:sz w:val="24"/>
              </w:rPr>
              <w:t>≧</w:t>
            </w:r>
            <w:r>
              <w:rPr>
                <w:rFonts w:ascii="宋体" w:hAnsi="宋体" w:eastAsia="宋体" w:cs="Times New Roman"/>
                <w:sz w:val="24"/>
              </w:rPr>
              <w:t>1280</w:t>
            </w:r>
            <w:r>
              <w:rPr>
                <w:rFonts w:hint="eastAsia" w:ascii="宋体" w:hAnsi="宋体" w:eastAsia="宋体" w:cs="Times New Roman"/>
                <w:sz w:val="24"/>
              </w:rPr>
              <w:t>*</w:t>
            </w:r>
            <w:r>
              <w:rPr>
                <w:rFonts w:ascii="宋体" w:hAnsi="宋体" w:eastAsia="宋体" w:cs="Times New Roman"/>
                <w:sz w:val="24"/>
              </w:rPr>
              <w:t>8</w:t>
            </w:r>
            <w:r>
              <w:rPr>
                <w:rFonts w:hint="eastAsia" w:ascii="宋体" w:hAnsi="宋体" w:eastAsia="宋体" w:cs="Times New Roman"/>
                <w:sz w:val="24"/>
              </w:rPr>
              <w:t>00，≥8通</w:t>
            </w:r>
            <w:r>
              <w:rPr>
                <w:rFonts w:ascii="宋体" w:hAnsi="宋体" w:eastAsia="宋体" w:cs="Times New Roman"/>
                <w:sz w:val="24"/>
              </w:rPr>
              <w:t>道</w:t>
            </w:r>
            <w:r>
              <w:rPr>
                <w:rFonts w:hint="eastAsia" w:ascii="宋体" w:hAnsi="宋体" w:eastAsia="宋体" w:cs="Times New Roman"/>
                <w:sz w:val="24"/>
              </w:rPr>
              <w:t>波形</w:t>
            </w:r>
            <w:r>
              <w:rPr>
                <w:rFonts w:ascii="宋体" w:hAnsi="宋体" w:eastAsia="宋体" w:cs="Times New Roman"/>
                <w:sz w:val="24"/>
              </w:rPr>
              <w:t>显示</w:t>
            </w:r>
            <w:r>
              <w:rPr>
                <w:rFonts w:hint="eastAsia" w:ascii="宋体" w:hAnsi="宋体" w:eastAsia="宋体" w:cs="Times New Roman"/>
                <w:sz w:val="24"/>
              </w:rPr>
              <w:t>。</w:t>
            </w:r>
          </w:p>
          <w:p w14:paraId="16C3A482">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、显示屏</w:t>
            </w:r>
            <w:r>
              <w:rPr>
                <w:rFonts w:ascii="宋体" w:hAnsi="宋体" w:eastAsia="宋体" w:cs="Times New Roman"/>
                <w:sz w:val="24"/>
              </w:rPr>
              <w:t>亮度自动调节</w:t>
            </w:r>
            <w:r>
              <w:rPr>
                <w:rFonts w:hint="eastAsia" w:ascii="宋体" w:hAnsi="宋体" w:eastAsia="宋体" w:cs="Times New Roman"/>
                <w:sz w:val="24"/>
              </w:rPr>
              <w:t>功能</w:t>
            </w:r>
            <w:r>
              <w:rPr>
                <w:rFonts w:ascii="宋体" w:hAnsi="宋体" w:eastAsia="宋体" w:cs="Times New Roman"/>
                <w:sz w:val="24"/>
              </w:rPr>
              <w:t>。</w:t>
            </w:r>
          </w:p>
          <w:p w14:paraId="1FAF848F">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5</w:t>
            </w:r>
            <w:r>
              <w:rPr>
                <w:rFonts w:hint="eastAsia" w:ascii="宋体" w:hAnsi="宋体" w:eastAsia="宋体" w:cs="Times New Roman"/>
                <w:sz w:val="24"/>
              </w:rPr>
              <w:t>、可支持遥控器无线远程操作监护仪。</w:t>
            </w:r>
          </w:p>
          <w:p w14:paraId="1EE22258">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6</w:t>
            </w:r>
            <w:r>
              <w:rPr>
                <w:rFonts w:hint="eastAsia" w:ascii="宋体" w:hAnsi="宋体" w:eastAsia="宋体" w:cs="Times New Roman"/>
                <w:sz w:val="24"/>
              </w:rPr>
              <w:t>、内置锂电池，插槽式设计，无需螺丝刀工具支持快速拆卸和安装。</w:t>
            </w:r>
          </w:p>
          <w:p w14:paraId="6E44206B">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Arial"/>
                <w:sz w:val="24"/>
                <w:lang w:val="en-US" w:eastAsia="zh-CN"/>
              </w:rPr>
              <w:t>7</w:t>
            </w:r>
            <w:r>
              <w:rPr>
                <w:rFonts w:hint="eastAsia" w:ascii="宋体" w:hAnsi="宋体" w:eastAsia="宋体" w:cs="Arial"/>
                <w:sz w:val="24"/>
              </w:rPr>
              <w:t>、</w:t>
            </w:r>
            <w:r>
              <w:rPr>
                <w:rFonts w:hint="eastAsia" w:ascii="宋体" w:hAnsi="宋体" w:eastAsia="宋体" w:cs="Arial"/>
                <w:sz w:val="24"/>
                <w:lang w:val="en-US" w:eastAsia="zh-CN"/>
              </w:rPr>
              <w:t>具备</w:t>
            </w:r>
            <w:r>
              <w:rPr>
                <w:rFonts w:hint="eastAsia" w:ascii="宋体" w:hAnsi="宋体" w:eastAsia="宋体" w:cs="Arial"/>
                <w:sz w:val="24"/>
              </w:rPr>
              <w:t>ECG, TEMP, IBP, SpO2 , NIBP监测参数</w:t>
            </w:r>
            <w:r>
              <w:rPr>
                <w:rFonts w:hint="eastAsia" w:ascii="宋体" w:hAnsi="宋体" w:eastAsia="宋体" w:cs="Arial"/>
                <w:sz w:val="24"/>
                <w:lang w:eastAsia="zh-CN"/>
              </w:rPr>
              <w:t>，</w:t>
            </w:r>
            <w:r>
              <w:rPr>
                <w:rFonts w:hint="eastAsia" w:ascii="宋体" w:hAnsi="宋体" w:eastAsia="宋体" w:cs="Arial"/>
                <w:sz w:val="24"/>
              </w:rPr>
              <w:t>抗电击程度为防除颤</w:t>
            </w:r>
            <w:r>
              <w:rPr>
                <w:rFonts w:hint="eastAsia" w:ascii="宋体" w:hAnsi="宋体" w:eastAsia="宋体" w:cs="Times New Roman"/>
                <w:sz w:val="24"/>
              </w:rPr>
              <w:t>CF型。</w:t>
            </w:r>
          </w:p>
          <w:p w14:paraId="25ED0E2B">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8</w:t>
            </w:r>
            <w:r>
              <w:rPr>
                <w:rFonts w:hint="eastAsia" w:ascii="宋体" w:hAnsi="宋体" w:eastAsia="宋体" w:cs="Times New Roman"/>
                <w:sz w:val="24"/>
              </w:rPr>
              <w:t>、清洁维护支持的清洁剂≥</w:t>
            </w:r>
            <w:r>
              <w:rPr>
                <w:rFonts w:ascii="宋体" w:hAnsi="宋体" w:eastAsia="宋体" w:cs="Times New Roman"/>
                <w:sz w:val="24"/>
              </w:rPr>
              <w:t>40</w:t>
            </w:r>
            <w:r>
              <w:rPr>
                <w:rFonts w:hint="eastAsia" w:ascii="宋体" w:hAnsi="宋体" w:eastAsia="宋体" w:cs="Times New Roman"/>
                <w:sz w:val="24"/>
              </w:rPr>
              <w:t>种。</w:t>
            </w:r>
          </w:p>
          <w:p w14:paraId="6E22A75F">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宋体"/>
                <w:sz w:val="24"/>
                <w:lang w:val="en-US" w:eastAsia="zh-CN"/>
              </w:rPr>
              <w:t>▲</w:t>
            </w:r>
            <w:r>
              <w:rPr>
                <w:rFonts w:hint="eastAsia" w:ascii="宋体" w:hAnsi="宋体" w:eastAsia="宋体" w:cs="Times New Roman"/>
                <w:sz w:val="24"/>
                <w:lang w:val="en-US" w:eastAsia="zh-CN"/>
              </w:rPr>
              <w:t>9</w:t>
            </w:r>
            <w:r>
              <w:rPr>
                <w:rFonts w:hint="eastAsia" w:ascii="宋体" w:hAnsi="宋体" w:eastAsia="宋体" w:cs="Times New Roman"/>
                <w:sz w:val="24"/>
              </w:rPr>
              <w:t>、配置3/5导心电，呼吸，无创血压，血氧饱和度，脉搏</w:t>
            </w:r>
            <w:r>
              <w:rPr>
                <w:rFonts w:hint="eastAsia" w:ascii="宋体" w:hAnsi="宋体" w:eastAsia="宋体" w:cs="Times New Roman"/>
                <w:sz w:val="24"/>
                <w:lang w:val="en-US" w:eastAsia="zh-CN"/>
              </w:rPr>
              <w:t>。</w:t>
            </w:r>
          </w:p>
          <w:p w14:paraId="7CC0BC61">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10</w:t>
            </w:r>
            <w:r>
              <w:rPr>
                <w:rFonts w:hint="eastAsia" w:ascii="宋体" w:hAnsi="宋体" w:eastAsia="宋体" w:cs="Times New Roman"/>
                <w:sz w:val="24"/>
              </w:rPr>
              <w:t>、</w:t>
            </w:r>
            <w:r>
              <w:rPr>
                <w:rFonts w:hint="eastAsia" w:ascii="宋体" w:hAnsi="宋体" w:eastAsia="宋体" w:cs="Times New Roman"/>
                <w:sz w:val="24"/>
                <w:lang w:val="en-US" w:eastAsia="zh-CN"/>
              </w:rPr>
              <w:t>具备</w:t>
            </w:r>
            <w:r>
              <w:rPr>
                <w:rFonts w:hint="eastAsia" w:ascii="宋体" w:hAnsi="宋体" w:eastAsia="宋体" w:cs="Times New Roman"/>
                <w:sz w:val="24"/>
              </w:rPr>
              <w:t>心率，ST段测量，心律失常分析，QT/QTc连续实时测量和报警</w:t>
            </w:r>
            <w:r>
              <w:rPr>
                <w:rFonts w:hint="eastAsia" w:ascii="宋体" w:hAnsi="宋体" w:eastAsia="宋体" w:cs="Times New Roman"/>
                <w:sz w:val="24"/>
                <w:lang w:val="en-US" w:eastAsia="zh-CN"/>
              </w:rPr>
              <w:t>功能</w:t>
            </w:r>
            <w:r>
              <w:rPr>
                <w:rFonts w:hint="eastAsia" w:ascii="宋体" w:hAnsi="宋体" w:eastAsia="宋体" w:cs="Times New Roman"/>
                <w:sz w:val="24"/>
              </w:rPr>
              <w:t>。</w:t>
            </w:r>
          </w:p>
          <w:p w14:paraId="1739903F">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11</w:t>
            </w:r>
            <w:r>
              <w:rPr>
                <w:rFonts w:hint="eastAsia" w:ascii="宋体" w:hAnsi="宋体" w:eastAsia="宋体" w:cs="Times New Roman"/>
                <w:sz w:val="24"/>
              </w:rPr>
              <w:t>、支持≥20种心律失常分析,包括房颤分析。</w:t>
            </w:r>
          </w:p>
          <w:p w14:paraId="28F6D479">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、QT和QTc实时监测参数测量范围：</w:t>
            </w:r>
            <w:r>
              <w:rPr>
                <w:rFonts w:ascii="宋体" w:hAnsi="宋体" w:eastAsia="宋体" w:cs="Times New Roman"/>
                <w:sz w:val="24"/>
              </w:rPr>
              <w:t>200</w:t>
            </w:r>
            <w:r>
              <w:rPr>
                <w:rFonts w:hint="eastAsia" w:ascii="宋体" w:hAnsi="宋体" w:eastAsia="宋体" w:cs="Times New Roman"/>
                <w:sz w:val="24"/>
              </w:rPr>
              <w:t>～</w:t>
            </w:r>
            <w:r>
              <w:rPr>
                <w:rFonts w:ascii="宋体" w:hAnsi="宋体" w:eastAsia="宋体" w:cs="Times New Roman"/>
                <w:sz w:val="24"/>
              </w:rPr>
              <w:t>800 ms</w:t>
            </w:r>
            <w:r>
              <w:rPr>
                <w:rFonts w:hint="eastAsia" w:ascii="宋体" w:hAnsi="宋体" w:eastAsia="宋体" w:cs="Times New Roman"/>
                <w:sz w:val="24"/>
              </w:rPr>
              <w:t>。</w:t>
            </w:r>
          </w:p>
          <w:p w14:paraId="3C3598B9">
            <w:pPr>
              <w:autoSpaceDE w:val="0"/>
              <w:autoSpaceDN w:val="0"/>
              <w:adjustRightInd w:val="0"/>
              <w:spacing w:line="360" w:lineRule="auto"/>
              <w:ind w:left="445" w:leftChars="203" w:hanging="19" w:hangingChars="8"/>
              <w:jc w:val="left"/>
              <w:rPr>
                <w:rFonts w:ascii="宋体" w:hAnsi="宋体" w:eastAsia="宋体" w:cs="Times New Roman"/>
                <w:sz w:val="24"/>
              </w:rPr>
            </w:pPr>
            <w:r>
              <w:rPr>
                <w:rFonts w:hint="eastAsia" w:ascii="宋体" w:hAnsi="宋体" w:eastAsia="宋体" w:cs="Times New Roman"/>
                <w:sz w:val="24"/>
                <w:lang w:val="en-US" w:eastAsia="zh-CN"/>
              </w:rPr>
              <w:t>13</w:t>
            </w:r>
            <w:r>
              <w:rPr>
                <w:rFonts w:hint="eastAsia" w:ascii="宋体" w:hAnsi="宋体" w:eastAsia="宋体" w:cs="Times New Roman"/>
                <w:sz w:val="24"/>
              </w:rPr>
              <w:t>、支持升级提供过去24小时心电概览报告查看与打印，包括心率统计结果，心律失常统计结果，ST统计和QT/QTc统计结果。</w:t>
            </w:r>
          </w:p>
          <w:p w14:paraId="6DEF45F1">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14</w:t>
            </w:r>
            <w:r>
              <w:rPr>
                <w:rFonts w:hint="eastAsia" w:ascii="宋体" w:hAnsi="宋体" w:eastAsia="宋体" w:cs="Times New Roman"/>
                <w:sz w:val="24"/>
              </w:rPr>
              <w:t>、</w:t>
            </w:r>
            <w:r>
              <w:rPr>
                <w:rFonts w:hint="eastAsia" w:ascii="宋体" w:hAnsi="宋体" w:eastAsia="宋体" w:cs="Times New Roman"/>
                <w:sz w:val="24"/>
                <w:lang w:val="en-US" w:eastAsia="zh-CN"/>
              </w:rPr>
              <w:t>具备</w:t>
            </w:r>
            <w:r>
              <w:rPr>
                <w:rFonts w:hint="eastAsia" w:ascii="宋体" w:hAnsi="宋体" w:eastAsia="宋体" w:cs="Times New Roman"/>
                <w:sz w:val="24"/>
              </w:rPr>
              <w:t>SpO2,PR和PI参数的实时监测，适用于成人，小儿和新生儿。</w:t>
            </w:r>
          </w:p>
          <w:p w14:paraId="71FEDE19">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15</w:t>
            </w:r>
            <w:r>
              <w:rPr>
                <w:rFonts w:hint="eastAsia" w:ascii="宋体" w:hAnsi="宋体" w:eastAsia="宋体" w:cs="Times New Roman"/>
                <w:sz w:val="24"/>
              </w:rPr>
              <w:t>、</w:t>
            </w:r>
            <w:r>
              <w:rPr>
                <w:rFonts w:hint="eastAsia" w:ascii="宋体" w:hAnsi="宋体" w:eastAsia="宋体" w:cs="Times New Roman"/>
                <w:sz w:val="24"/>
                <w:lang w:val="en-US" w:eastAsia="zh-CN"/>
              </w:rPr>
              <w:t>具备</w:t>
            </w:r>
            <w:r>
              <w:rPr>
                <w:rFonts w:hint="eastAsia" w:ascii="宋体" w:hAnsi="宋体" w:eastAsia="宋体" w:cs="Times New Roman"/>
                <w:sz w:val="24"/>
              </w:rPr>
              <w:t>指套式血氧探头，IPX7防水等级，支持液体浸泡消毒和清洁。</w:t>
            </w:r>
          </w:p>
          <w:p w14:paraId="6A4FC4D9">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16</w:t>
            </w:r>
            <w:r>
              <w:rPr>
                <w:rFonts w:hint="eastAsia" w:ascii="宋体" w:hAnsi="宋体" w:eastAsia="宋体" w:cs="Times New Roman"/>
                <w:sz w:val="24"/>
              </w:rPr>
              <w:t>、提供手动，自动，连续和序列4种测量模式，提供24小</w:t>
            </w:r>
            <w:r>
              <w:rPr>
                <w:rFonts w:ascii="宋体" w:hAnsi="宋体" w:eastAsia="宋体" w:cs="Times New Roman"/>
                <w:sz w:val="24"/>
              </w:rPr>
              <w:t>时血压统计结果</w:t>
            </w:r>
            <w:r>
              <w:rPr>
                <w:rFonts w:hint="eastAsia" w:ascii="宋体" w:hAnsi="宋体" w:eastAsia="宋体" w:cs="Times New Roman"/>
                <w:sz w:val="24"/>
              </w:rPr>
              <w:t>。</w:t>
            </w:r>
          </w:p>
          <w:p w14:paraId="737C51B9">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宋体"/>
                <w:sz w:val="24"/>
                <w:lang w:val="en-US" w:eastAsia="zh-CN"/>
              </w:rPr>
              <w:t>▲</w:t>
            </w:r>
            <w:r>
              <w:rPr>
                <w:rFonts w:hint="eastAsia" w:ascii="宋体" w:hAnsi="宋体" w:eastAsia="宋体" w:cs="Times New Roman"/>
                <w:sz w:val="24"/>
                <w:lang w:val="en-US" w:eastAsia="zh-CN"/>
              </w:rPr>
              <w:t>17</w:t>
            </w:r>
            <w:r>
              <w:rPr>
                <w:rFonts w:hint="eastAsia" w:ascii="宋体" w:hAnsi="宋体" w:eastAsia="宋体" w:cs="Times New Roman"/>
                <w:sz w:val="24"/>
              </w:rPr>
              <w:t>、无创血压成人测量范围：收缩压25~290mmHg，舒张压10~250mmHg。</w:t>
            </w:r>
          </w:p>
          <w:p w14:paraId="37671020">
            <w:pPr>
              <w:autoSpaceDE w:val="0"/>
              <w:autoSpaceDN w:val="0"/>
              <w:adjustRightInd w:val="0"/>
              <w:spacing w:line="360" w:lineRule="auto"/>
              <w:ind w:left="420" w:leftChars="200"/>
              <w:jc w:val="left"/>
              <w:rPr>
                <w:rFonts w:ascii="宋体" w:hAnsi="宋体" w:eastAsia="宋体" w:cs="Times New Roman"/>
                <w:sz w:val="24"/>
              </w:rPr>
            </w:pPr>
            <w:r>
              <w:rPr>
                <w:rFonts w:hint="eastAsia" w:ascii="宋体" w:hAnsi="宋体" w:eastAsia="宋体" w:cs="Times New Roman"/>
                <w:sz w:val="24"/>
                <w:lang w:val="en-US" w:eastAsia="zh-CN"/>
              </w:rPr>
              <w:t>18</w:t>
            </w:r>
            <w:r>
              <w:rPr>
                <w:rFonts w:hint="eastAsia" w:ascii="宋体" w:hAnsi="宋体" w:eastAsia="宋体" w:cs="Times New Roman"/>
                <w:sz w:val="24"/>
              </w:rPr>
              <w:t>、</w:t>
            </w:r>
            <w:r>
              <w:rPr>
                <w:rFonts w:hint="eastAsia" w:ascii="宋体" w:hAnsi="宋体" w:eastAsia="宋体" w:cs="Times New Roman"/>
                <w:sz w:val="24"/>
                <w:lang w:val="en-US" w:eastAsia="zh-CN"/>
              </w:rPr>
              <w:t>具备</w:t>
            </w:r>
            <w:r>
              <w:rPr>
                <w:rFonts w:hint="eastAsia" w:ascii="宋体" w:hAnsi="宋体" w:eastAsia="宋体" w:cs="Times New Roman"/>
                <w:sz w:val="24"/>
              </w:rPr>
              <w:t>辅助静脉穿刺功能。</w:t>
            </w:r>
          </w:p>
          <w:p w14:paraId="45FFC8D1">
            <w:pPr>
              <w:spacing w:line="360" w:lineRule="auto"/>
              <w:ind w:right="42" w:rightChars="20" w:firstLine="480" w:firstLineChars="200"/>
              <w:rPr>
                <w:rFonts w:ascii="宋体" w:hAnsi="宋体" w:eastAsia="宋体" w:cs="Times New Roman"/>
                <w:sz w:val="24"/>
              </w:rPr>
            </w:pPr>
            <w:r>
              <w:rPr>
                <w:rFonts w:hint="eastAsia" w:ascii="宋体" w:hAnsi="宋体" w:eastAsia="宋体" w:cs="Times New Roman"/>
                <w:sz w:val="24"/>
                <w:lang w:val="en-US" w:eastAsia="zh-CN"/>
              </w:rPr>
              <w:t>19、</w:t>
            </w:r>
            <w:r>
              <w:rPr>
                <w:rFonts w:hint="eastAsia" w:ascii="宋体" w:hAnsi="宋体" w:eastAsia="宋体" w:cs="Times New Roman"/>
                <w:sz w:val="24"/>
              </w:rPr>
              <w:t>支持所有监测参数报警限一键自动设置功能。</w:t>
            </w:r>
          </w:p>
          <w:p w14:paraId="1BC8302E">
            <w:pPr>
              <w:spacing w:line="360" w:lineRule="auto"/>
              <w:ind w:left="420" w:leftChars="200" w:right="42" w:rightChars="20"/>
              <w:rPr>
                <w:rFonts w:ascii="宋体" w:hAnsi="宋体" w:eastAsia="宋体" w:cs="Times New Roman"/>
                <w:sz w:val="24"/>
              </w:rPr>
            </w:pPr>
            <w:r>
              <w:rPr>
                <w:rFonts w:hint="eastAsia" w:ascii="宋体" w:hAnsi="宋体" w:eastAsia="宋体" w:cs="Times New Roman"/>
                <w:sz w:val="24"/>
                <w:lang w:val="en-US" w:eastAsia="zh-CN"/>
              </w:rPr>
              <w:t>20</w:t>
            </w:r>
            <w:r>
              <w:rPr>
                <w:rFonts w:hint="eastAsia" w:ascii="宋体" w:hAnsi="宋体" w:eastAsia="宋体" w:cs="Times New Roman"/>
                <w:sz w:val="24"/>
              </w:rPr>
              <w:t>、支持肾功能计算功能，提供界面截图。</w:t>
            </w:r>
          </w:p>
          <w:p w14:paraId="052EA58C">
            <w:pPr>
              <w:spacing w:line="360" w:lineRule="auto"/>
              <w:ind w:right="42" w:rightChars="20" w:firstLine="480" w:firstLineChars="200"/>
              <w:rPr>
                <w:rFonts w:ascii="宋体" w:hAnsi="宋体" w:eastAsia="宋体" w:cs="Times New Roman"/>
                <w:color w:val="000000"/>
                <w:sz w:val="24"/>
              </w:rPr>
            </w:pPr>
            <w:r>
              <w:rPr>
                <w:rFonts w:hint="eastAsia" w:ascii="宋体" w:hAnsi="宋体" w:eastAsia="宋体" w:cs="Times New Roman"/>
                <w:sz w:val="24"/>
                <w:lang w:val="en-US" w:eastAsia="zh-CN"/>
              </w:rPr>
              <w:t>21</w:t>
            </w:r>
            <w:r>
              <w:rPr>
                <w:rFonts w:hint="eastAsia" w:ascii="宋体" w:hAnsi="宋体" w:eastAsia="宋体" w:cs="Times New Roman"/>
                <w:sz w:val="24"/>
              </w:rPr>
              <w:t>、</w:t>
            </w:r>
            <w:r>
              <w:rPr>
                <w:rFonts w:ascii="宋体" w:hAnsi="宋体" w:eastAsia="宋体" w:cs="Times New Roman"/>
                <w:sz w:val="24"/>
              </w:rPr>
              <w:t>具有图形化</w:t>
            </w:r>
            <w:r>
              <w:rPr>
                <w:rFonts w:hint="eastAsia" w:ascii="宋体" w:hAnsi="宋体" w:eastAsia="宋体" w:cs="Times New Roman"/>
                <w:sz w:val="24"/>
              </w:rPr>
              <w:t>技术</w:t>
            </w:r>
            <w:r>
              <w:rPr>
                <w:rFonts w:ascii="宋体" w:hAnsi="宋体" w:eastAsia="宋体" w:cs="Times New Roman"/>
                <w:sz w:val="24"/>
              </w:rPr>
              <w:t>报警指示功能</w:t>
            </w:r>
            <w:r>
              <w:rPr>
                <w:rFonts w:hint="eastAsia" w:ascii="宋体" w:hAnsi="宋体" w:eastAsia="宋体" w:cs="Times New Roman"/>
                <w:sz w:val="24"/>
              </w:rPr>
              <w:t>。</w:t>
            </w:r>
          </w:p>
          <w:p w14:paraId="3B46D1E5">
            <w:pPr>
              <w:spacing w:line="360" w:lineRule="auto"/>
              <w:ind w:left="420" w:leftChars="200" w:right="42" w:rightChars="20"/>
              <w:rPr>
                <w:rFonts w:hint="eastAsia" w:ascii="宋体" w:hAnsi="宋体" w:eastAsia="宋体" w:cs="Times New Roman"/>
                <w:sz w:val="24"/>
                <w:lang w:val="en-US" w:eastAsia="zh-CN"/>
              </w:rPr>
            </w:pPr>
            <w:r>
              <w:rPr>
                <w:rFonts w:hint="eastAsia" w:ascii="宋体" w:hAnsi="宋体" w:eastAsia="宋体" w:cs="Times New Roman"/>
                <w:sz w:val="24"/>
                <w:lang w:val="en-US" w:eastAsia="zh-CN"/>
              </w:rPr>
              <w:t>22</w:t>
            </w:r>
            <w:r>
              <w:rPr>
                <w:rFonts w:hint="eastAsia" w:ascii="宋体" w:hAnsi="宋体" w:eastAsia="宋体" w:cs="Times New Roman"/>
                <w:sz w:val="24"/>
              </w:rPr>
              <w:t>、≥120小时趋势图和趋势表回顾，支持选择不同趋势组回顾</w:t>
            </w:r>
            <w:r>
              <w:rPr>
                <w:rFonts w:hint="eastAsia" w:ascii="宋体" w:hAnsi="宋体" w:eastAsia="宋体" w:cs="Times New Roman"/>
                <w:sz w:val="24"/>
                <w:lang w:eastAsia="zh-CN"/>
              </w:rPr>
              <w:t>。</w:t>
            </w:r>
          </w:p>
          <w:p w14:paraId="78ADD963">
            <w:pPr>
              <w:spacing w:line="360" w:lineRule="auto"/>
              <w:ind w:left="424" w:leftChars="202" w:right="42" w:rightChars="20" w:firstLine="2"/>
              <w:rPr>
                <w:rFonts w:ascii="宋体" w:hAnsi="宋体" w:eastAsia="宋体" w:cs="Times New Roman"/>
                <w:sz w:val="24"/>
              </w:rPr>
            </w:pPr>
            <w:r>
              <w:rPr>
                <w:rFonts w:hint="eastAsia" w:ascii="宋体" w:hAnsi="宋体" w:eastAsia="宋体" w:cs="Times New Roman"/>
                <w:sz w:val="24"/>
                <w:lang w:val="en-US" w:eastAsia="zh-CN"/>
              </w:rPr>
              <w:t>23</w:t>
            </w:r>
            <w:r>
              <w:rPr>
                <w:rFonts w:hint="eastAsia" w:ascii="宋体" w:hAnsi="宋体" w:eastAsia="宋体" w:cs="Times New Roman"/>
                <w:sz w:val="24"/>
              </w:rPr>
              <w:t>、≥</w:t>
            </w:r>
            <w:r>
              <w:rPr>
                <w:rFonts w:ascii="宋体" w:hAnsi="宋体" w:eastAsia="宋体" w:cs="Times New Roman"/>
                <w:sz w:val="24"/>
              </w:rPr>
              <w:t>1000条事件回顾。</w:t>
            </w:r>
          </w:p>
          <w:p w14:paraId="33A1EF0A">
            <w:pPr>
              <w:spacing w:line="360" w:lineRule="auto"/>
              <w:ind w:right="42" w:rightChars="20"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24</w:t>
            </w:r>
            <w:r>
              <w:rPr>
                <w:rFonts w:hint="eastAsia" w:ascii="宋体" w:hAnsi="宋体" w:eastAsia="宋体" w:cs="Times New Roman"/>
                <w:sz w:val="24"/>
              </w:rPr>
              <w:t>、≥1000组NIBP测</w:t>
            </w:r>
            <w:r>
              <w:rPr>
                <w:rFonts w:ascii="宋体" w:hAnsi="宋体" w:eastAsia="宋体" w:cs="Times New Roman"/>
                <w:sz w:val="24"/>
              </w:rPr>
              <w:t>量结果</w:t>
            </w:r>
            <w:r>
              <w:rPr>
                <w:rFonts w:hint="eastAsia" w:ascii="宋体" w:hAnsi="宋体" w:eastAsia="宋体" w:cs="Times New Roman"/>
                <w:sz w:val="24"/>
                <w:lang w:eastAsia="zh-CN"/>
              </w:rPr>
              <w:t>。</w:t>
            </w:r>
          </w:p>
          <w:p w14:paraId="616A6359">
            <w:pPr>
              <w:spacing w:line="360" w:lineRule="auto"/>
              <w:ind w:right="42" w:rightChars="20"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25</w:t>
            </w:r>
            <w:r>
              <w:rPr>
                <w:rFonts w:hint="eastAsia" w:ascii="宋体" w:hAnsi="宋体" w:eastAsia="宋体" w:cs="Times New Roman"/>
                <w:sz w:val="24"/>
              </w:rPr>
              <w:t>、≥120小时ST模板存储与回顾</w:t>
            </w:r>
            <w:r>
              <w:rPr>
                <w:rFonts w:hint="eastAsia" w:ascii="宋体" w:hAnsi="宋体" w:eastAsia="宋体" w:cs="Times New Roman"/>
                <w:sz w:val="24"/>
                <w:lang w:eastAsia="zh-CN"/>
              </w:rPr>
              <w:t>。</w:t>
            </w:r>
          </w:p>
          <w:p w14:paraId="5E43C175">
            <w:pPr>
              <w:spacing w:line="360" w:lineRule="auto"/>
              <w:ind w:right="42" w:rightChars="20"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val="en-US" w:eastAsia="zh-CN"/>
              </w:rPr>
              <w:t>26</w:t>
            </w:r>
            <w:r>
              <w:rPr>
                <w:rFonts w:hint="eastAsia" w:ascii="宋体" w:hAnsi="宋体" w:eastAsia="宋体" w:cs="Times New Roman"/>
                <w:color w:val="000000"/>
                <w:sz w:val="24"/>
              </w:rPr>
              <w:t>、支持48小时全息波形的存储与回顾功能</w:t>
            </w:r>
            <w:r>
              <w:rPr>
                <w:rFonts w:hint="eastAsia" w:ascii="宋体" w:hAnsi="宋体" w:eastAsia="宋体" w:cs="Times New Roman"/>
                <w:color w:val="000000"/>
                <w:sz w:val="24"/>
                <w:lang w:eastAsia="zh-CN"/>
              </w:rPr>
              <w:t>。</w:t>
            </w:r>
          </w:p>
          <w:p w14:paraId="68C72625">
            <w:pPr>
              <w:spacing w:line="360" w:lineRule="auto"/>
              <w:ind w:left="489" w:leftChars="233" w:right="42" w:rightChars="20"/>
              <w:rPr>
                <w:rFonts w:ascii="宋体" w:hAnsi="宋体" w:eastAsia="宋体" w:cs="Times New Roman"/>
                <w:sz w:val="24"/>
              </w:rPr>
            </w:pPr>
            <w:r>
              <w:rPr>
                <w:rFonts w:hint="eastAsia" w:ascii="宋体" w:hAnsi="宋体" w:eastAsia="宋体" w:cs="Times New Roman"/>
                <w:color w:val="000000"/>
                <w:sz w:val="24"/>
                <w:lang w:val="en-US" w:eastAsia="zh-CN"/>
              </w:rPr>
              <w:t>27</w:t>
            </w:r>
            <w:r>
              <w:rPr>
                <w:rFonts w:hint="eastAsia" w:ascii="宋体" w:hAnsi="宋体" w:eastAsia="宋体" w:cs="Times New Roman"/>
                <w:color w:val="000000"/>
                <w:sz w:val="24"/>
              </w:rPr>
              <w:t>、</w:t>
            </w:r>
            <w:r>
              <w:rPr>
                <w:rFonts w:hint="eastAsia" w:ascii="宋体" w:hAnsi="宋体" w:eastAsia="宋体" w:cs="Times New Roman"/>
                <w:color w:val="000000"/>
                <w:sz w:val="24"/>
                <w:lang w:val="en-US" w:eastAsia="zh-CN"/>
              </w:rPr>
              <w:t>具备</w:t>
            </w:r>
            <w:r>
              <w:rPr>
                <w:rFonts w:hint="eastAsia" w:ascii="宋体" w:hAnsi="宋体" w:eastAsia="宋体" w:cs="Times New Roman"/>
                <w:color w:val="000000"/>
                <w:sz w:val="24"/>
              </w:rPr>
              <w:t>数据的存储和回顾，支持数据导出到U盘。</w:t>
            </w:r>
          </w:p>
          <w:p w14:paraId="2EA1222F">
            <w:pPr>
              <w:spacing w:line="360" w:lineRule="auto"/>
              <w:ind w:left="489" w:leftChars="233" w:right="84" w:rightChars="40"/>
              <w:rPr>
                <w:rFonts w:ascii="宋体" w:hAnsi="宋体" w:eastAsia="宋体" w:cs="Times New Roman"/>
                <w:sz w:val="24"/>
              </w:rPr>
            </w:pPr>
            <w:r>
              <w:rPr>
                <w:rFonts w:hint="eastAsia" w:ascii="宋体" w:hAnsi="宋体" w:eastAsia="宋体" w:cs="宋体"/>
                <w:sz w:val="24"/>
                <w:lang w:val="en-US" w:eastAsia="zh-CN"/>
              </w:rPr>
              <w:t>▲</w:t>
            </w:r>
            <w:r>
              <w:rPr>
                <w:rFonts w:hint="eastAsia" w:ascii="宋体" w:hAnsi="宋体" w:eastAsia="宋体" w:cs="Times New Roman"/>
                <w:sz w:val="24"/>
                <w:lang w:val="en-US" w:eastAsia="zh-CN"/>
              </w:rPr>
              <w:t>28</w:t>
            </w:r>
            <w:r>
              <w:rPr>
                <w:rFonts w:hint="eastAsia" w:ascii="宋体" w:hAnsi="宋体" w:eastAsia="宋体" w:cs="Times New Roman"/>
                <w:sz w:val="24"/>
              </w:rPr>
              <w:t>、支持有线</w:t>
            </w:r>
            <w:r>
              <w:rPr>
                <w:rFonts w:hint="eastAsia" w:ascii="宋体" w:hAnsi="宋体" w:eastAsia="宋体" w:cs="Times New Roman"/>
                <w:sz w:val="24"/>
                <w:lang w:val="en-US" w:eastAsia="zh-CN"/>
              </w:rPr>
              <w:t>或无线</w:t>
            </w:r>
            <w:r>
              <w:rPr>
                <w:rFonts w:hint="eastAsia" w:ascii="宋体" w:hAnsi="宋体" w:eastAsia="宋体" w:cs="Times New Roman"/>
                <w:sz w:val="24"/>
              </w:rPr>
              <w:t>网络通信，</w:t>
            </w:r>
            <w:r>
              <w:rPr>
                <w:rFonts w:hint="eastAsia" w:ascii="宋体" w:hAnsi="宋体" w:eastAsia="宋体" w:cs="Times New Roman"/>
                <w:sz w:val="24"/>
                <w:lang w:val="en-US" w:eastAsia="zh-CN"/>
              </w:rPr>
              <w:t>并可与中央监护系统连接</w:t>
            </w:r>
            <w:r>
              <w:rPr>
                <w:rFonts w:hint="eastAsia" w:ascii="宋体" w:hAnsi="宋体" w:eastAsia="宋体" w:cs="Times New Roman"/>
                <w:sz w:val="24"/>
              </w:rPr>
              <w:t>。</w:t>
            </w:r>
          </w:p>
          <w:p w14:paraId="34DF06A2">
            <w:pPr>
              <w:spacing w:line="360" w:lineRule="auto"/>
              <w:ind w:left="489" w:leftChars="233" w:right="84" w:rightChars="40"/>
              <w:rPr>
                <w:rFonts w:ascii="宋体" w:hAnsi="宋体" w:eastAsia="宋体" w:cs="Times New Roman"/>
                <w:sz w:val="24"/>
              </w:rPr>
            </w:pPr>
            <w:r>
              <w:rPr>
                <w:rFonts w:hint="eastAsia" w:ascii="宋体" w:hAnsi="宋体" w:eastAsia="宋体" w:cs="Times New Roman"/>
                <w:sz w:val="24"/>
                <w:lang w:val="en-US" w:eastAsia="zh-CN"/>
              </w:rPr>
              <w:t>29</w:t>
            </w:r>
            <w:r>
              <w:rPr>
                <w:rFonts w:hint="eastAsia" w:ascii="宋体" w:hAnsi="宋体" w:eastAsia="宋体" w:cs="Times New Roman"/>
                <w:sz w:val="24"/>
              </w:rPr>
              <w:t>、</w:t>
            </w:r>
            <w:r>
              <w:rPr>
                <w:rFonts w:hint="eastAsia" w:ascii="宋体" w:hAnsi="宋体" w:eastAsia="宋体" w:cs="Times New Roman"/>
                <w:sz w:val="24"/>
                <w:lang w:val="en-US" w:eastAsia="zh-CN"/>
              </w:rPr>
              <w:t>具备</w:t>
            </w:r>
            <w:r>
              <w:rPr>
                <w:rFonts w:hint="eastAsia" w:ascii="宋体" w:hAnsi="宋体" w:eastAsia="宋体" w:cs="Times New Roman"/>
                <w:sz w:val="24"/>
              </w:rPr>
              <w:t>夜间模式，隐私模式，演示模式和待机模式。</w:t>
            </w:r>
          </w:p>
          <w:p w14:paraId="12B1034E">
            <w:pPr>
              <w:autoSpaceDE w:val="0"/>
              <w:autoSpaceDN w:val="0"/>
              <w:adjustRightInd w:val="0"/>
              <w:spacing w:line="360" w:lineRule="auto"/>
              <w:ind w:left="489" w:leftChars="233" w:right="84" w:rightChars="40"/>
              <w:jc w:val="left"/>
              <w:rPr>
                <w:rFonts w:ascii="宋体" w:hAnsi="宋体" w:eastAsia="宋体" w:cs="Times New Roman"/>
                <w:sz w:val="24"/>
              </w:rPr>
            </w:pPr>
            <w:r>
              <w:rPr>
                <w:rFonts w:hint="eastAsia" w:ascii="宋体" w:hAnsi="宋体" w:eastAsia="宋体" w:cs="Times New Roman"/>
                <w:sz w:val="24"/>
                <w:lang w:val="en-US" w:eastAsia="zh-CN"/>
              </w:rPr>
              <w:t>30</w:t>
            </w:r>
            <w:r>
              <w:rPr>
                <w:rFonts w:hint="eastAsia" w:ascii="宋体" w:hAnsi="宋体" w:eastAsia="宋体" w:cs="Times New Roman"/>
                <w:sz w:val="24"/>
              </w:rPr>
              <w:t>、可升级配置临床评分系统，可</w:t>
            </w:r>
            <w:r>
              <w:rPr>
                <w:rFonts w:ascii="宋体" w:hAnsi="宋体" w:eastAsia="宋体" w:cs="Times New Roman"/>
                <w:sz w:val="24"/>
              </w:rPr>
              <w:t>支持</w:t>
            </w:r>
            <w:r>
              <w:rPr>
                <w:rFonts w:hint="eastAsia" w:ascii="宋体" w:hAnsi="宋体" w:eastAsia="宋体" w:cs="Times New Roman"/>
                <w:sz w:val="24"/>
              </w:rPr>
              <w:t>定时自动EWS评分</w:t>
            </w:r>
            <w:r>
              <w:rPr>
                <w:rFonts w:ascii="宋体" w:hAnsi="宋体" w:eastAsia="宋体" w:cs="Times New Roman"/>
                <w:sz w:val="24"/>
              </w:rPr>
              <w:t>功能</w:t>
            </w:r>
            <w:r>
              <w:rPr>
                <w:rFonts w:hint="eastAsia" w:ascii="宋体" w:hAnsi="宋体" w:eastAsia="宋体" w:cs="Times New Roman"/>
                <w:sz w:val="24"/>
              </w:rPr>
              <w:t>。</w:t>
            </w:r>
          </w:p>
          <w:p w14:paraId="5F2EA72B">
            <w:pPr>
              <w:spacing w:line="360" w:lineRule="auto"/>
              <w:ind w:left="489" w:leftChars="233" w:right="84" w:rightChars="40"/>
              <w:rPr>
                <w:rFonts w:ascii="宋体" w:hAnsi="宋体" w:eastAsia="宋体" w:cs="Times New Roman"/>
                <w:sz w:val="24"/>
              </w:rPr>
            </w:pPr>
            <w:r>
              <w:rPr>
                <w:rFonts w:hint="eastAsia" w:ascii="宋体" w:hAnsi="宋体" w:eastAsia="宋体" w:cs="Times New Roman"/>
                <w:sz w:val="24"/>
                <w:lang w:val="en-US" w:eastAsia="zh-CN"/>
              </w:rPr>
              <w:t>31</w:t>
            </w:r>
            <w:r>
              <w:rPr>
                <w:rFonts w:hint="eastAsia" w:ascii="宋体" w:hAnsi="宋体" w:eastAsia="宋体" w:cs="Times New Roman"/>
                <w:sz w:val="24"/>
              </w:rPr>
              <w:t>、</w:t>
            </w:r>
            <w:r>
              <w:rPr>
                <w:rFonts w:ascii="宋体" w:hAnsi="宋体" w:eastAsia="宋体" w:cs="Times New Roman"/>
                <w:sz w:val="24"/>
              </w:rPr>
              <w:t>提供</w:t>
            </w:r>
            <w:r>
              <w:rPr>
                <w:rFonts w:hint="eastAsia" w:ascii="宋体" w:hAnsi="宋体" w:eastAsia="宋体" w:cs="Times New Roman"/>
                <w:sz w:val="24"/>
              </w:rPr>
              <w:t>心肌缺血</w:t>
            </w:r>
            <w:r>
              <w:rPr>
                <w:rFonts w:ascii="宋体" w:hAnsi="宋体" w:eastAsia="宋体" w:cs="Times New Roman"/>
                <w:sz w:val="24"/>
              </w:rPr>
              <w:t>评估</w:t>
            </w:r>
            <w:r>
              <w:rPr>
                <w:rFonts w:hint="eastAsia" w:ascii="宋体" w:hAnsi="宋体" w:eastAsia="宋体" w:cs="Times New Roman"/>
                <w:sz w:val="24"/>
              </w:rPr>
              <w:t>工具</w:t>
            </w:r>
            <w:r>
              <w:rPr>
                <w:rFonts w:ascii="宋体" w:hAnsi="宋体" w:eastAsia="宋体" w:cs="Times New Roman"/>
                <w:sz w:val="24"/>
              </w:rPr>
              <w:t>，可以快速查看ST值的变化</w:t>
            </w:r>
            <w:r>
              <w:rPr>
                <w:rFonts w:hint="eastAsia" w:ascii="宋体" w:hAnsi="宋体" w:eastAsia="宋体" w:cs="Times New Roman"/>
                <w:sz w:val="24"/>
              </w:rPr>
              <w:t>。</w:t>
            </w:r>
          </w:p>
          <w:p w14:paraId="32E2A74B">
            <w:pPr>
              <w:autoSpaceDE w:val="0"/>
              <w:autoSpaceDN w:val="0"/>
              <w:adjustRightInd w:val="0"/>
              <w:spacing w:line="360" w:lineRule="auto"/>
              <w:ind w:left="489" w:leftChars="233" w:right="84" w:rightChars="40"/>
              <w:jc w:val="left"/>
              <w:rPr>
                <w:rFonts w:ascii="宋体" w:hAnsi="宋体" w:eastAsia="宋体" w:cs="Times New Roman"/>
                <w:sz w:val="24"/>
              </w:rPr>
            </w:pPr>
            <w:r>
              <w:rPr>
                <w:rFonts w:hint="eastAsia" w:ascii="宋体" w:hAnsi="宋体" w:eastAsia="宋体" w:cs="Times New Roman"/>
                <w:sz w:val="24"/>
                <w:lang w:val="en-US" w:eastAsia="zh-CN"/>
              </w:rPr>
              <w:t>32</w:t>
            </w:r>
            <w:r>
              <w:rPr>
                <w:rFonts w:hint="eastAsia" w:ascii="宋体" w:hAnsi="宋体" w:eastAsia="宋体" w:cs="Times New Roman"/>
                <w:sz w:val="24"/>
              </w:rPr>
              <w:t>、提供计时器功能，提供</w:t>
            </w:r>
            <w:r>
              <w:rPr>
                <w:rFonts w:hint="eastAsia" w:ascii="宋体" w:hAnsi="宋体" w:eastAsia="宋体" w:cs="Times New Roman"/>
                <w:sz w:val="24"/>
                <w:lang w:val="en-US" w:eastAsia="zh-CN"/>
              </w:rPr>
              <w:t>至少</w:t>
            </w:r>
            <w:r>
              <w:rPr>
                <w:rFonts w:hint="eastAsia" w:ascii="宋体" w:hAnsi="宋体" w:eastAsia="宋体" w:cs="Times New Roman"/>
                <w:sz w:val="24"/>
              </w:rPr>
              <w:t>4个计时器，每个计时器支持独立设置和计时功能，计时方向包括正计时和倒计时两种选择。</w:t>
            </w:r>
          </w:p>
          <w:p w14:paraId="3448AEFD">
            <w:pPr>
              <w:autoSpaceDE w:val="0"/>
              <w:autoSpaceDN w:val="0"/>
              <w:adjustRightInd w:val="0"/>
              <w:spacing w:line="360" w:lineRule="auto"/>
              <w:ind w:left="489" w:leftChars="233" w:right="84" w:rightChars="40"/>
              <w:jc w:val="left"/>
              <w:rPr>
                <w:rFonts w:ascii="宋体" w:hAnsi="宋体" w:eastAsia="宋体" w:cs="Times New Roman"/>
                <w:sz w:val="24"/>
              </w:rPr>
            </w:pPr>
            <w:r>
              <w:rPr>
                <w:rFonts w:hint="eastAsia" w:ascii="宋体" w:hAnsi="宋体" w:eastAsia="宋体" w:cs="Times New Roman"/>
                <w:sz w:val="24"/>
                <w:lang w:val="en-US" w:eastAsia="zh-CN"/>
              </w:rPr>
              <w:t>33</w:t>
            </w:r>
            <w:r>
              <w:rPr>
                <w:rFonts w:hint="eastAsia" w:ascii="宋体" w:hAnsi="宋体" w:eastAsia="宋体" w:cs="Times New Roman"/>
                <w:sz w:val="24"/>
              </w:rPr>
              <w:t>、支持格拉斯哥昏迷评分（</w:t>
            </w:r>
            <w:r>
              <w:rPr>
                <w:rFonts w:ascii="宋体" w:hAnsi="宋体" w:eastAsia="宋体" w:cs="Times New Roman"/>
                <w:sz w:val="24"/>
              </w:rPr>
              <w:t>GCS</w:t>
            </w:r>
            <w:r>
              <w:rPr>
                <w:rFonts w:hint="eastAsia" w:ascii="宋体" w:hAnsi="宋体" w:eastAsia="宋体" w:cs="Times New Roman"/>
                <w:sz w:val="24"/>
              </w:rPr>
              <w:t>）功能。</w:t>
            </w:r>
          </w:p>
          <w:p w14:paraId="63AAD879">
            <w:pPr>
              <w:autoSpaceDE w:val="0"/>
              <w:autoSpaceDN w:val="0"/>
              <w:adjustRightInd w:val="0"/>
              <w:spacing w:line="360" w:lineRule="auto"/>
              <w:ind w:left="489" w:leftChars="233" w:right="84" w:rightChars="40"/>
              <w:jc w:val="left"/>
              <w:rPr>
                <w:rFonts w:ascii="宋体" w:hAnsi="宋体" w:eastAsia="宋体" w:cs="Times New Roman"/>
                <w:sz w:val="24"/>
              </w:rPr>
            </w:pPr>
            <w:r>
              <w:rPr>
                <w:rFonts w:hint="eastAsia" w:ascii="宋体" w:hAnsi="宋体" w:eastAsia="宋体" w:cs="Times New Roman"/>
                <w:sz w:val="24"/>
                <w:lang w:val="en-US" w:eastAsia="zh-CN"/>
              </w:rPr>
              <w:t>34</w:t>
            </w:r>
            <w:r>
              <w:rPr>
                <w:rFonts w:hint="eastAsia" w:ascii="宋体" w:hAnsi="宋体" w:eastAsia="宋体" w:cs="Times New Roman"/>
                <w:sz w:val="24"/>
              </w:rPr>
              <w:t>、动态</w:t>
            </w:r>
            <w:r>
              <w:rPr>
                <w:rFonts w:ascii="宋体" w:hAnsi="宋体" w:eastAsia="宋体" w:cs="Times New Roman"/>
                <w:sz w:val="24"/>
              </w:rPr>
              <w:t>趋势界面可支持统计</w:t>
            </w:r>
            <w:r>
              <w:rPr>
                <w:rFonts w:hint="eastAsia" w:ascii="宋体" w:hAnsi="宋体" w:eastAsia="宋体" w:cs="Times New Roman"/>
                <w:sz w:val="24"/>
              </w:rPr>
              <w:t>1-24小</w:t>
            </w:r>
            <w:r>
              <w:rPr>
                <w:rFonts w:ascii="宋体" w:hAnsi="宋体" w:eastAsia="宋体" w:cs="Times New Roman"/>
                <w:sz w:val="24"/>
              </w:rPr>
              <w:t>时</w:t>
            </w:r>
            <w:r>
              <w:rPr>
                <w:rFonts w:hint="eastAsia" w:ascii="宋体" w:hAnsi="宋体" w:eastAsia="宋体" w:cs="Times New Roman"/>
                <w:sz w:val="24"/>
              </w:rPr>
              <w:t>心</w:t>
            </w:r>
            <w:r>
              <w:rPr>
                <w:rFonts w:ascii="宋体" w:hAnsi="宋体" w:eastAsia="宋体" w:cs="Times New Roman"/>
                <w:sz w:val="24"/>
              </w:rPr>
              <w:t>律失常报警、参数超限报警信息，并对</w:t>
            </w:r>
            <w:r>
              <w:rPr>
                <w:rFonts w:hint="eastAsia" w:ascii="宋体" w:hAnsi="宋体" w:eastAsia="宋体" w:cs="Times New Roman"/>
                <w:sz w:val="24"/>
              </w:rPr>
              <w:t>超</w:t>
            </w:r>
            <w:r>
              <w:rPr>
                <w:rFonts w:ascii="宋体" w:hAnsi="宋体" w:eastAsia="宋体" w:cs="Times New Roman"/>
                <w:sz w:val="24"/>
              </w:rPr>
              <w:t>限报警区间的波形进行高亮显示，快速识别异常</w:t>
            </w:r>
            <w:r>
              <w:rPr>
                <w:rFonts w:hint="eastAsia" w:ascii="宋体" w:hAnsi="宋体" w:eastAsia="宋体" w:cs="Times New Roman"/>
                <w:sz w:val="24"/>
              </w:rPr>
              <w:t>趋势</w:t>
            </w:r>
            <w:r>
              <w:rPr>
                <w:rFonts w:ascii="宋体" w:hAnsi="宋体" w:eastAsia="宋体" w:cs="Times New Roman"/>
                <w:sz w:val="24"/>
              </w:rPr>
              <w:t>信息。</w:t>
            </w:r>
          </w:p>
          <w:p w14:paraId="2F14AF4A">
            <w:pPr>
              <w:autoSpaceDE w:val="0"/>
              <w:autoSpaceDN w:val="0"/>
              <w:adjustRightInd w:val="0"/>
              <w:spacing w:line="360" w:lineRule="auto"/>
              <w:ind w:left="489" w:leftChars="233" w:right="84" w:rightChars="40"/>
              <w:jc w:val="left"/>
              <w:rPr>
                <w:rFonts w:hint="eastAsia" w:ascii="宋体" w:hAnsi="宋体" w:eastAsia="宋体" w:cs="Times New Roman"/>
                <w:sz w:val="24"/>
              </w:rPr>
            </w:pPr>
            <w:r>
              <w:rPr>
                <w:rFonts w:hint="eastAsia" w:ascii="宋体" w:hAnsi="宋体" w:eastAsia="宋体" w:cs="Times New Roman"/>
                <w:sz w:val="24"/>
                <w:lang w:val="en-US" w:eastAsia="zh-CN"/>
              </w:rPr>
              <w:t>35、</w:t>
            </w:r>
            <w:r>
              <w:rPr>
                <w:rFonts w:hint="eastAsia" w:ascii="宋体" w:hAnsi="宋体" w:eastAsia="宋体" w:cs="Times New Roman"/>
                <w:sz w:val="24"/>
              </w:rPr>
              <w:t>使用年限≥8年。</w:t>
            </w:r>
          </w:p>
          <w:p w14:paraId="4A0E47FE">
            <w:pPr>
              <w:autoSpaceDE w:val="0"/>
              <w:autoSpaceDN w:val="0"/>
              <w:adjustRightInd w:val="0"/>
              <w:spacing w:line="360" w:lineRule="auto"/>
              <w:ind w:left="489" w:leftChars="233" w:right="84" w:rightChars="4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配置清单：</w:t>
            </w:r>
          </w:p>
          <w:p w14:paraId="2B476E19">
            <w:pPr>
              <w:autoSpaceDE w:val="0"/>
              <w:autoSpaceDN w:val="0"/>
              <w:adjustRightInd w:val="0"/>
              <w:spacing w:line="360" w:lineRule="auto"/>
              <w:ind w:left="489" w:leftChars="233" w:right="84" w:rightChars="4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rPr>
              <w:t>主机</w:t>
            </w:r>
            <w:r>
              <w:rPr>
                <w:rFonts w:hint="eastAsia" w:ascii="宋体" w:hAnsi="宋体" w:eastAsia="宋体" w:cs="Times New Roman"/>
                <w:sz w:val="24"/>
                <w:lang w:val="en-US" w:eastAsia="zh-CN"/>
              </w:rPr>
              <w:t>1台</w:t>
            </w:r>
          </w:p>
          <w:p w14:paraId="2057759F">
            <w:pPr>
              <w:autoSpaceDE w:val="0"/>
              <w:autoSpaceDN w:val="0"/>
              <w:adjustRightInd w:val="0"/>
              <w:spacing w:line="360" w:lineRule="auto"/>
              <w:ind w:left="489" w:leftChars="233" w:right="84" w:rightChars="40"/>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2、</w:t>
            </w:r>
            <w:r>
              <w:rPr>
                <w:rFonts w:hint="eastAsia" w:ascii="宋体" w:hAnsi="宋体" w:eastAsia="宋体" w:cs="Times New Roman"/>
                <w:sz w:val="24"/>
              </w:rPr>
              <w:t>3/5导</w:t>
            </w:r>
            <w:r>
              <w:rPr>
                <w:rFonts w:hint="eastAsia" w:ascii="宋体" w:hAnsi="宋体" w:eastAsia="宋体" w:cs="Times New Roman"/>
                <w:sz w:val="24"/>
                <w:lang w:val="en-US" w:eastAsia="zh-CN"/>
              </w:rPr>
              <w:t>心电1套</w:t>
            </w:r>
          </w:p>
          <w:p w14:paraId="55A1CCD9">
            <w:pPr>
              <w:autoSpaceDE w:val="0"/>
              <w:autoSpaceDN w:val="0"/>
              <w:adjustRightInd w:val="0"/>
              <w:spacing w:line="360" w:lineRule="auto"/>
              <w:ind w:left="489" w:leftChars="233" w:right="84" w:rightChars="40"/>
              <w:jc w:val="left"/>
              <w:rPr>
                <w:rFonts w:hint="eastAsia" w:ascii="宋体" w:hAnsi="宋体" w:eastAsia="宋体" w:cs="Times New Roman"/>
                <w:sz w:val="24"/>
                <w:lang w:eastAsia="zh-CN"/>
              </w:rPr>
            </w:pPr>
            <w:r>
              <w:rPr>
                <w:rFonts w:hint="eastAsia" w:ascii="宋体" w:hAnsi="宋体" w:eastAsia="宋体" w:cs="Times New Roman"/>
                <w:sz w:val="24"/>
                <w:lang w:val="en-US" w:eastAsia="zh-CN"/>
              </w:rPr>
              <w:t>3、</w:t>
            </w:r>
            <w:r>
              <w:rPr>
                <w:rFonts w:hint="eastAsia" w:ascii="宋体" w:hAnsi="宋体" w:eastAsia="宋体" w:cs="Times New Roman"/>
                <w:sz w:val="24"/>
              </w:rPr>
              <w:t>一次性心电电极</w:t>
            </w:r>
            <w:r>
              <w:rPr>
                <w:rFonts w:hint="eastAsia" w:ascii="宋体" w:hAnsi="宋体" w:eastAsia="宋体" w:cs="Times New Roman"/>
                <w:sz w:val="24"/>
                <w:lang w:val="en-US" w:eastAsia="zh-CN"/>
              </w:rPr>
              <w:t>片10</w:t>
            </w:r>
            <w:r>
              <w:rPr>
                <w:rFonts w:hint="eastAsia" w:ascii="宋体" w:hAnsi="宋体" w:eastAsia="宋体" w:cs="Times New Roman"/>
                <w:sz w:val="24"/>
              </w:rPr>
              <w:t>片</w:t>
            </w:r>
          </w:p>
          <w:p w14:paraId="523B3FA0">
            <w:pPr>
              <w:autoSpaceDE w:val="0"/>
              <w:autoSpaceDN w:val="0"/>
              <w:adjustRightInd w:val="0"/>
              <w:spacing w:line="360" w:lineRule="auto"/>
              <w:ind w:left="489" w:leftChars="233" w:right="84" w:rightChars="40"/>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4、</w:t>
            </w:r>
            <w:r>
              <w:rPr>
                <w:rFonts w:hint="eastAsia" w:ascii="宋体" w:hAnsi="宋体" w:eastAsia="宋体" w:cs="Times New Roman"/>
                <w:sz w:val="24"/>
              </w:rPr>
              <w:t>血氧探头主电缆</w:t>
            </w:r>
            <w:r>
              <w:rPr>
                <w:rFonts w:hint="eastAsia" w:ascii="宋体" w:hAnsi="宋体" w:eastAsia="宋体" w:cs="Times New Roman"/>
                <w:sz w:val="24"/>
                <w:lang w:val="en-US" w:eastAsia="zh-CN"/>
              </w:rPr>
              <w:t>1根</w:t>
            </w:r>
          </w:p>
          <w:p w14:paraId="5CD81178">
            <w:pPr>
              <w:autoSpaceDE w:val="0"/>
              <w:autoSpaceDN w:val="0"/>
              <w:adjustRightInd w:val="0"/>
              <w:spacing w:line="360" w:lineRule="auto"/>
              <w:ind w:left="489" w:leftChars="233" w:right="84" w:rightChars="4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w:t>
            </w:r>
            <w:r>
              <w:rPr>
                <w:rFonts w:hint="eastAsia" w:ascii="宋体" w:hAnsi="宋体" w:eastAsia="宋体" w:cs="Times New Roman"/>
                <w:sz w:val="24"/>
              </w:rPr>
              <w:t>指血氧探头</w:t>
            </w:r>
            <w:r>
              <w:rPr>
                <w:rFonts w:hint="eastAsia" w:ascii="宋体" w:hAnsi="宋体" w:eastAsia="宋体" w:cs="Times New Roman"/>
                <w:sz w:val="24"/>
                <w:lang w:val="en-US" w:eastAsia="zh-CN"/>
              </w:rPr>
              <w:t>1根</w:t>
            </w:r>
          </w:p>
          <w:p w14:paraId="5B3A6857">
            <w:pPr>
              <w:autoSpaceDE w:val="0"/>
              <w:autoSpaceDN w:val="0"/>
              <w:adjustRightInd w:val="0"/>
              <w:spacing w:line="360" w:lineRule="auto"/>
              <w:ind w:left="489" w:leftChars="233" w:right="84" w:rightChars="40"/>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eastAsia="宋体" w:cs="Times New Roman"/>
                <w:sz w:val="24"/>
              </w:rPr>
              <w:t>无创压外接导气管</w:t>
            </w:r>
            <w:r>
              <w:rPr>
                <w:rFonts w:hint="eastAsia" w:ascii="宋体" w:hAnsi="宋体" w:eastAsia="宋体" w:cs="Times New Roman"/>
                <w:sz w:val="24"/>
                <w:lang w:val="en-US" w:eastAsia="zh-CN"/>
              </w:rPr>
              <w:t>1根</w:t>
            </w:r>
          </w:p>
          <w:p w14:paraId="27AF5E58">
            <w:pPr>
              <w:autoSpaceDE w:val="0"/>
              <w:autoSpaceDN w:val="0"/>
              <w:adjustRightInd w:val="0"/>
              <w:spacing w:line="360" w:lineRule="auto"/>
              <w:ind w:left="489" w:leftChars="233" w:right="84" w:rightChars="4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w:t>
            </w:r>
            <w:r>
              <w:rPr>
                <w:rFonts w:hint="eastAsia" w:ascii="宋体" w:hAnsi="宋体" w:eastAsia="宋体" w:cs="Times New Roman"/>
                <w:sz w:val="24"/>
              </w:rPr>
              <w:t>成人袖套</w:t>
            </w:r>
            <w:r>
              <w:rPr>
                <w:rFonts w:hint="eastAsia" w:ascii="宋体" w:hAnsi="宋体" w:eastAsia="宋体" w:cs="Times New Roman"/>
                <w:sz w:val="24"/>
                <w:lang w:val="en-US" w:eastAsia="zh-CN"/>
              </w:rPr>
              <w:t>1套</w:t>
            </w:r>
          </w:p>
          <w:p w14:paraId="529EE26F">
            <w:pPr>
              <w:autoSpaceDE w:val="0"/>
              <w:autoSpaceDN w:val="0"/>
              <w:adjustRightInd w:val="0"/>
              <w:spacing w:line="360" w:lineRule="auto"/>
              <w:ind w:left="489" w:leftChars="233" w:right="84" w:rightChars="40"/>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8、</w:t>
            </w:r>
            <w:r>
              <w:rPr>
                <w:rFonts w:hint="eastAsia" w:ascii="宋体" w:hAnsi="宋体" w:eastAsia="宋体" w:cs="Times New Roman"/>
                <w:sz w:val="24"/>
              </w:rPr>
              <w:t>三芯电源线</w:t>
            </w:r>
            <w:r>
              <w:rPr>
                <w:rFonts w:hint="eastAsia" w:ascii="宋体" w:hAnsi="宋体" w:eastAsia="宋体" w:cs="Times New Roman"/>
                <w:sz w:val="24"/>
                <w:lang w:val="en-US" w:eastAsia="zh-CN"/>
              </w:rPr>
              <w:t>1根</w:t>
            </w:r>
          </w:p>
          <w:p w14:paraId="61E89E1E">
            <w:pPr>
              <w:autoSpaceDE w:val="0"/>
              <w:autoSpaceDN w:val="0"/>
              <w:adjustRightInd w:val="0"/>
              <w:spacing w:line="360" w:lineRule="auto"/>
              <w:ind w:left="489" w:leftChars="233" w:right="84" w:rightChars="40"/>
              <w:jc w:val="left"/>
              <w:rPr>
                <w:rFonts w:hint="default" w:ascii="宋体" w:hAnsi="宋体" w:eastAsiaTheme="minorEastAsia"/>
                <w:sz w:val="28"/>
                <w:szCs w:val="28"/>
                <w:lang w:val="en-US" w:eastAsia="zh-CN"/>
              </w:rPr>
            </w:pPr>
            <w:r>
              <w:rPr>
                <w:rFonts w:hint="eastAsia" w:ascii="宋体" w:hAnsi="宋体" w:eastAsia="宋体" w:cs="Times New Roman"/>
                <w:sz w:val="24"/>
                <w:lang w:val="en-US" w:eastAsia="zh-CN"/>
              </w:rPr>
              <w:t>9、</w:t>
            </w:r>
            <w:r>
              <w:rPr>
                <w:rFonts w:hint="eastAsia" w:ascii="宋体" w:hAnsi="宋体" w:eastAsia="宋体" w:cs="Times New Roman"/>
                <w:sz w:val="24"/>
              </w:rPr>
              <w:t xml:space="preserve">锂电池 </w:t>
            </w:r>
            <w:r>
              <w:rPr>
                <w:rFonts w:hint="eastAsia" w:ascii="宋体" w:hAnsi="宋体" w:eastAsia="宋体" w:cs="Times New Roman"/>
                <w:sz w:val="24"/>
                <w:lang w:val="en-US" w:eastAsia="zh-CN"/>
              </w:rPr>
              <w:t>1块</w:t>
            </w:r>
          </w:p>
        </w:tc>
      </w:tr>
    </w:tbl>
    <w:p w14:paraId="7B1EAB13">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w:t>
      </w:r>
      <w:r>
        <w:rPr>
          <w:rFonts w:hint="eastAsia" w:asciiTheme="minorEastAsia" w:hAnsiTheme="minorEastAsia" w:eastAsiaTheme="minorEastAsia" w:cstheme="minorEastAsia"/>
          <w:b/>
          <w:snapToGrid w:val="0"/>
          <w:color w:val="000000"/>
          <w:kern w:val="0"/>
          <w:sz w:val="28"/>
          <w:szCs w:val="28"/>
          <w:lang w:eastAsia="en-US"/>
        </w:rPr>
        <w:t>三、商务要求</w:t>
      </w:r>
    </w:p>
    <w:tbl>
      <w:tblPr>
        <w:tblStyle w:val="6"/>
        <w:tblW w:w="555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294"/>
        <w:gridCol w:w="7408"/>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0" w:name="_Toc204778399"/>
            <w:r>
              <w:rPr>
                <w:rFonts w:hint="eastAsia" w:asciiTheme="minorEastAsia" w:hAnsiTheme="minorEastAsia" w:eastAsiaTheme="minorEastAsia" w:cstheme="minorEastAsia"/>
                <w:snapToGrid w:val="0"/>
                <w:color w:val="000000"/>
                <w:spacing w:val="6"/>
                <w:kern w:val="0"/>
                <w:sz w:val="28"/>
                <w:szCs w:val="28"/>
                <w:lang w:eastAsia="en-US"/>
              </w:rPr>
              <w:t>1</w:t>
            </w:r>
            <w:bookmarkEnd w:id="0"/>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0C80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 w:name="_Toc204778400"/>
            <w:r>
              <w:rPr>
                <w:rFonts w:hint="eastAsia" w:asciiTheme="minorEastAsia" w:hAnsiTheme="minorEastAsia" w:eastAsiaTheme="minorEastAsia" w:cstheme="minorEastAsia"/>
                <w:snapToGrid w:val="0"/>
                <w:color w:val="000000"/>
                <w:spacing w:val="6"/>
                <w:kern w:val="0"/>
                <w:sz w:val="28"/>
                <w:szCs w:val="28"/>
                <w:lang w:eastAsia="en-US"/>
              </w:rPr>
              <w:t>投标报价要求</w:t>
            </w:r>
            <w:bookmarkEnd w:id="1"/>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1B56633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1、报价必须含以下部分，包括：</w:t>
            </w:r>
          </w:p>
          <w:p w14:paraId="5C2961C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（1）货物的价格；</w:t>
            </w:r>
          </w:p>
          <w:p w14:paraId="3A9870C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（2）必要的保险费用和各项税金；</w:t>
            </w:r>
          </w:p>
          <w:p w14:paraId="7F93339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w:t>
            </w:r>
            <w:r>
              <w:rPr>
                <w:rFonts w:hint="eastAsia" w:asciiTheme="minorEastAsia" w:hAnsiTheme="minorEastAsia" w:eastAsiaTheme="minorEastAsia" w:cstheme="minorEastAsia"/>
                <w:snapToGrid w:val="0"/>
                <w:color w:val="auto"/>
                <w:spacing w:val="5"/>
                <w:kern w:val="0"/>
                <w:sz w:val="28"/>
                <w:szCs w:val="28"/>
                <w:lang w:eastAsia="en-US"/>
              </w:rPr>
              <w:t>其他</w:t>
            </w:r>
            <w:r>
              <w:rPr>
                <w:rFonts w:hint="eastAsia" w:asciiTheme="minorEastAsia" w:hAnsiTheme="minorEastAsia" w:eastAsiaTheme="minorEastAsia" w:cstheme="minorEastAsia"/>
                <w:snapToGrid w:val="0"/>
                <w:color w:val="000000"/>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2" w:name="_Toc204778401"/>
            <w:r>
              <w:rPr>
                <w:rFonts w:hint="eastAsia" w:asciiTheme="minorEastAsia" w:hAnsiTheme="minorEastAsia" w:eastAsiaTheme="minorEastAsia" w:cstheme="minorEastAsia"/>
                <w:snapToGrid w:val="0"/>
                <w:color w:val="000000"/>
                <w:spacing w:val="6"/>
                <w:kern w:val="0"/>
                <w:sz w:val="28"/>
                <w:szCs w:val="28"/>
                <w:lang w:eastAsia="en-US"/>
              </w:rPr>
              <w:t>2</w:t>
            </w:r>
            <w:bookmarkEnd w:id="2"/>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合同签订时间</w:t>
            </w:r>
          </w:p>
        </w:tc>
        <w:tc>
          <w:tcPr>
            <w:tcW w:w="4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3" w:name="_Toc204778402"/>
            <w:r>
              <w:rPr>
                <w:rFonts w:hint="eastAsia" w:asciiTheme="minorEastAsia" w:hAnsiTheme="minorEastAsia" w:eastAsiaTheme="minorEastAsia" w:cstheme="minorEastAsia"/>
                <w:snapToGrid w:val="0"/>
                <w:color w:val="000000"/>
                <w:spacing w:val="6"/>
                <w:kern w:val="0"/>
                <w:sz w:val="28"/>
                <w:szCs w:val="28"/>
                <w:lang w:eastAsia="en-US"/>
              </w:rPr>
              <w:t>3</w:t>
            </w:r>
            <w:bookmarkEnd w:id="3"/>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C12D4">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4" w:name="_Toc204778403"/>
            <w:r>
              <w:rPr>
                <w:rFonts w:hint="eastAsia" w:asciiTheme="minorEastAsia" w:hAnsiTheme="minorEastAsia" w:eastAsiaTheme="minorEastAsia" w:cstheme="minorEastAsia"/>
                <w:snapToGrid w:val="0"/>
                <w:color w:val="000000"/>
                <w:spacing w:val="6"/>
                <w:kern w:val="0"/>
                <w:sz w:val="28"/>
                <w:szCs w:val="28"/>
                <w:lang w:eastAsia="en-US"/>
              </w:rPr>
              <w:t>交货时间及地点</w:t>
            </w:r>
            <w:bookmarkEnd w:id="4"/>
          </w:p>
        </w:tc>
        <w:tc>
          <w:tcPr>
            <w:tcW w:w="4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eastAsia="en-US"/>
              </w:rPr>
              <w:t>1.交货期：合同签订</w:t>
            </w:r>
            <w:r>
              <w:rPr>
                <w:rFonts w:hint="eastAsia" w:asciiTheme="minorEastAsia" w:hAnsiTheme="minorEastAsia" w:eastAsiaTheme="minorEastAsia" w:cstheme="minorEastAsia"/>
                <w:snapToGrid w:val="0"/>
                <w:color w:val="000000"/>
                <w:spacing w:val="5"/>
                <w:kern w:val="0"/>
                <w:sz w:val="28"/>
                <w:szCs w:val="28"/>
                <w:lang w:val="en-US" w:eastAsia="zh-CN"/>
              </w:rPr>
              <w:t>之日起</w:t>
            </w:r>
            <w:r>
              <w:rPr>
                <w:rFonts w:hint="eastAsia" w:asciiTheme="minorEastAsia" w:hAnsiTheme="minorEastAsia" w:eastAsiaTheme="minorEastAsia" w:cstheme="minorEastAsia"/>
                <w:snapToGrid w:val="0"/>
                <w:color w:val="000000"/>
                <w:spacing w:val="5"/>
                <w:kern w:val="0"/>
                <w:sz w:val="28"/>
                <w:szCs w:val="28"/>
                <w:lang w:eastAsia="en-US"/>
              </w:rPr>
              <w:t>30天内完成交货安装调试并正常运行</w:t>
            </w:r>
            <w:r>
              <w:rPr>
                <w:rFonts w:hint="eastAsia" w:asciiTheme="minorEastAsia" w:hAnsiTheme="minorEastAsia" w:cstheme="minorEastAsia"/>
                <w:snapToGrid w:val="0"/>
                <w:color w:val="000000"/>
                <w:spacing w:val="5"/>
                <w:kern w:val="0"/>
                <w:sz w:val="28"/>
                <w:szCs w:val="28"/>
                <w:lang w:eastAsia="zh-CN"/>
              </w:rPr>
              <w:t>，</w:t>
            </w:r>
            <w:r>
              <w:rPr>
                <w:rFonts w:hint="eastAsia" w:asciiTheme="minorEastAsia" w:hAnsiTheme="minorEastAsia" w:cstheme="minorEastAsia"/>
                <w:snapToGrid w:val="0"/>
                <w:color w:val="000000"/>
                <w:spacing w:val="5"/>
                <w:kern w:val="0"/>
                <w:sz w:val="28"/>
                <w:szCs w:val="28"/>
                <w:lang w:val="en-US" w:eastAsia="zh-CN"/>
              </w:rPr>
              <w:t>配套耗材按需供应。</w:t>
            </w:r>
          </w:p>
          <w:p w14:paraId="3B3A6422">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4"/>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4</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质保期</w:t>
            </w:r>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1.投标人应明确承诺：按国家有关产品“三包”规定执行“三包”，货物验收合格后，自安装验收合格之日起</w:t>
            </w:r>
            <w:r>
              <w:rPr>
                <w:rFonts w:hint="eastAsia" w:ascii="宋体" w:hAnsi="宋体" w:eastAsia="宋体" w:cs="宋体"/>
                <w:snapToGrid w:val="0"/>
                <w:color w:val="000000"/>
                <w:spacing w:val="5"/>
                <w:kern w:val="0"/>
                <w:sz w:val="28"/>
                <w:szCs w:val="28"/>
                <w:lang w:eastAsia="en-US"/>
              </w:rPr>
              <w:t>≧</w:t>
            </w:r>
            <w:r>
              <w:rPr>
                <w:rFonts w:hint="eastAsia" w:asciiTheme="minorEastAsia" w:hAnsiTheme="minorEastAsia" w:eastAsiaTheme="minorEastAsia" w:cstheme="minorEastAsia"/>
                <w:snapToGrid w:val="0"/>
                <w:color w:val="000000"/>
                <w:spacing w:val="5"/>
                <w:kern w:val="0"/>
                <w:sz w:val="28"/>
                <w:szCs w:val="28"/>
                <w:lang w:val="en-US" w:eastAsia="zh-CN"/>
              </w:rPr>
              <w:t>3年</w:t>
            </w:r>
            <w:r>
              <w:rPr>
                <w:rFonts w:hint="eastAsia" w:asciiTheme="minorEastAsia" w:hAnsiTheme="minorEastAsia" w:eastAsiaTheme="minorEastAsia" w:cstheme="minorEastAsia"/>
                <w:b/>
                <w:bCs/>
                <w:snapToGrid w:val="0"/>
                <w:color w:val="auto"/>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eastAsia="en-US"/>
              </w:rPr>
              <w:t>质保期内非人为</w:t>
            </w:r>
            <w:r>
              <w:rPr>
                <w:rFonts w:hint="eastAsia" w:asciiTheme="minorEastAsia" w:hAnsiTheme="minorEastAsia" w:eastAsiaTheme="minorEastAsia" w:cstheme="minorEastAsia"/>
                <w:snapToGrid w:val="0"/>
                <w:color w:val="auto"/>
                <w:spacing w:val="5"/>
                <w:kern w:val="0"/>
                <w:sz w:val="28"/>
                <w:szCs w:val="28"/>
                <w:lang w:eastAsia="en-US"/>
              </w:rPr>
              <w:t>损坏</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000000"/>
                <w:spacing w:val="5"/>
                <w:kern w:val="0"/>
                <w:sz w:val="28"/>
                <w:szCs w:val="28"/>
                <w:lang w:eastAsia="en-US"/>
              </w:rPr>
              <w:t>更换所有故障零配件，</w:t>
            </w:r>
            <w:r>
              <w:rPr>
                <w:rFonts w:hint="eastAsia" w:asciiTheme="minorEastAsia" w:hAnsiTheme="minorEastAsia" w:eastAsiaTheme="minorEastAsia" w:cstheme="minorEastAsia"/>
                <w:snapToGrid w:val="0"/>
                <w:color w:val="auto"/>
                <w:spacing w:val="5"/>
                <w:kern w:val="0"/>
                <w:sz w:val="28"/>
                <w:szCs w:val="28"/>
                <w:lang w:eastAsia="en-US"/>
              </w:rPr>
              <w:t>并</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提</w:t>
            </w:r>
            <w:r>
              <w:rPr>
                <w:rFonts w:hint="eastAsia" w:asciiTheme="minorEastAsia" w:hAnsiTheme="minorEastAsia" w:eastAsiaTheme="minorEastAsia" w:cstheme="minorEastAsia"/>
                <w:snapToGrid w:val="0"/>
                <w:color w:val="000000"/>
                <w:spacing w:val="5"/>
                <w:kern w:val="0"/>
                <w:sz w:val="28"/>
                <w:szCs w:val="28"/>
                <w:lang w:eastAsia="en-US"/>
              </w:rPr>
              <w:t>供设备的系统软件及硬件的安全性改版升级和技术支持，确保设备正常运行，质保期满后，终身维护。</w:t>
            </w:r>
          </w:p>
          <w:p w14:paraId="7538B1A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2.要求投标货物是全新的、未经改装的、合格的、满足本项目技术需求及要求的货物。所有零部件、配件必须是未经使用的全新的并符合国家有关质量安全标准的产品。</w:t>
            </w:r>
          </w:p>
          <w:p w14:paraId="1B04E63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3.质保期所更换的零配件必须是原厂全新的零配件，满足设备运行要求。</w:t>
            </w:r>
          </w:p>
          <w:p w14:paraId="2600471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4.质保期承诺优于国家“三包”规定的，或优于招标文件规定的，按投标人实际承诺执行。</w:t>
            </w:r>
          </w:p>
          <w:p w14:paraId="73B4DE6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5.若在使用的前3个月内，出现非人为操作失误的重大故障，</w:t>
            </w:r>
            <w:r>
              <w:rPr>
                <w:rFonts w:hint="eastAsia" w:asciiTheme="minorEastAsia" w:hAnsiTheme="minorEastAsia" w:eastAsiaTheme="minorEastAsia" w:cstheme="minorEastAsia"/>
                <w:snapToGrid w:val="0"/>
                <w:color w:val="000000"/>
                <w:spacing w:val="5"/>
                <w:kern w:val="0"/>
                <w:sz w:val="28"/>
                <w:szCs w:val="28"/>
                <w:lang w:val="en-US" w:eastAsia="zh-CN"/>
              </w:rPr>
              <w:t>中标人</w:t>
            </w:r>
            <w:r>
              <w:rPr>
                <w:rFonts w:hint="eastAsia" w:asciiTheme="minorEastAsia" w:hAnsiTheme="minorEastAsia" w:eastAsiaTheme="minorEastAsia" w:cstheme="minorEastAsia"/>
                <w:snapToGrid w:val="0"/>
                <w:color w:val="000000"/>
                <w:spacing w:val="5"/>
                <w:kern w:val="0"/>
                <w:sz w:val="28"/>
                <w:szCs w:val="28"/>
                <w:lang w:eastAsia="en-US"/>
              </w:rPr>
              <w:t>应予以</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换货</w:t>
            </w:r>
            <w:r>
              <w:rPr>
                <w:rFonts w:hint="eastAsia" w:asciiTheme="minorEastAsia" w:hAnsiTheme="minorEastAsia" w:eastAsiaTheme="minorEastAsia" w:cstheme="minorEastAsia"/>
                <w:snapToGrid w:val="0"/>
                <w:color w:val="000000"/>
                <w:spacing w:val="5"/>
                <w:kern w:val="0"/>
                <w:sz w:val="28"/>
                <w:szCs w:val="28"/>
                <w:lang w:eastAsia="en-US"/>
              </w:rPr>
              <w:t>。</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5" w:name="_Toc204778404"/>
            <w:r>
              <w:rPr>
                <w:rFonts w:hint="eastAsia" w:asciiTheme="minorEastAsia" w:hAnsiTheme="minorEastAsia" w:eastAsiaTheme="minorEastAsia" w:cstheme="minorEastAsia"/>
                <w:snapToGrid w:val="0"/>
                <w:color w:val="000000"/>
                <w:spacing w:val="6"/>
                <w:kern w:val="0"/>
                <w:sz w:val="28"/>
                <w:szCs w:val="28"/>
                <w:lang w:eastAsia="en-US"/>
              </w:rPr>
              <w:t>5</w:t>
            </w:r>
            <w:bookmarkEnd w:id="5"/>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EAAA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6" w:name="_Toc204778405"/>
            <w:r>
              <w:rPr>
                <w:rFonts w:hint="eastAsia" w:asciiTheme="minorEastAsia" w:hAnsiTheme="minorEastAsia" w:eastAsiaTheme="minorEastAsia" w:cstheme="minorEastAsia"/>
                <w:snapToGrid w:val="0"/>
                <w:color w:val="000000"/>
                <w:spacing w:val="6"/>
                <w:kern w:val="0"/>
                <w:sz w:val="28"/>
                <w:szCs w:val="28"/>
                <w:lang w:eastAsia="en-US"/>
              </w:rPr>
              <w:t>售后服务要求</w:t>
            </w:r>
            <w:bookmarkEnd w:id="6"/>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22B1056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3.提供7*24小时售后服务，接到采购人通知后2小时内作出实质响应（远程解决或做出预备维护动作），并在24小时内恢复设备运行；</w:t>
            </w:r>
          </w:p>
          <w:p w14:paraId="7C29019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4C2F723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7CA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E1018">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7" w:name="_Toc204778406"/>
            <w:r>
              <w:rPr>
                <w:rFonts w:hint="eastAsia" w:asciiTheme="minorEastAsia" w:hAnsiTheme="minorEastAsia" w:eastAsiaTheme="minorEastAsia" w:cstheme="minorEastAsia"/>
                <w:snapToGrid w:val="0"/>
                <w:color w:val="000000"/>
                <w:spacing w:val="6"/>
                <w:kern w:val="0"/>
                <w:sz w:val="28"/>
                <w:szCs w:val="28"/>
                <w:lang w:eastAsia="en-US"/>
              </w:rPr>
              <w:t>6</w:t>
            </w:r>
            <w:bookmarkEnd w:id="7"/>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C1D3E">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8" w:name="_Toc204778407"/>
            <w:r>
              <w:rPr>
                <w:rFonts w:hint="eastAsia" w:asciiTheme="minorEastAsia" w:hAnsiTheme="minorEastAsia" w:eastAsiaTheme="minorEastAsia" w:cstheme="minorEastAsia"/>
                <w:snapToGrid w:val="0"/>
                <w:color w:val="000000"/>
                <w:spacing w:val="6"/>
                <w:kern w:val="0"/>
                <w:sz w:val="28"/>
                <w:szCs w:val="28"/>
                <w:lang w:eastAsia="en-US"/>
              </w:rPr>
              <w:t>医疗器械注册证</w:t>
            </w:r>
            <w:bookmarkEnd w:id="8"/>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3CAABA07">
            <w:pPr>
              <w:keepNext/>
              <w:keepLines/>
              <w:pageBreakBefore w:val="0"/>
              <w:widowControl w:val="0"/>
              <w:kinsoku/>
              <w:wordWrap w:val="0"/>
              <w:overflowPunct/>
              <w:topLinePunct/>
              <w:autoSpaceDE/>
              <w:autoSpaceDN/>
              <w:bidi w:val="0"/>
              <w:adjustRightInd w:val="0"/>
              <w:snapToGrid w:val="0"/>
              <w:spacing w:before="185" w:line="360" w:lineRule="exact"/>
              <w:ind w:right="87"/>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kinsoku/>
              <w:wordWrap w:val="0"/>
              <w:overflowPunct/>
              <w:topLinePunct/>
              <w:autoSpaceDE/>
              <w:autoSpaceDN/>
              <w:bidi w:val="0"/>
              <w:adjustRightInd w:val="0"/>
              <w:snapToGrid w:val="0"/>
              <w:spacing w:before="178" w:line="360" w:lineRule="exact"/>
              <w:ind w:left="125"/>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7</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kinsoku/>
              <w:wordWrap w:val="0"/>
              <w:overflowPunct/>
              <w:topLinePunct/>
              <w:autoSpaceDE/>
              <w:autoSpaceDN/>
              <w:bidi w:val="0"/>
              <w:adjustRightInd w:val="0"/>
              <w:snapToGrid w:val="0"/>
              <w:spacing w:before="185" w:line="360" w:lineRule="exact"/>
              <w:ind w:right="87"/>
              <w:jc w:val="center"/>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付款方式</w:t>
            </w:r>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78F69EF1">
            <w:pPr>
              <w:keepNext/>
              <w:keepLines/>
              <w:pageBreakBefore w:val="0"/>
              <w:widowControl w:val="0"/>
              <w:kinsoku/>
              <w:wordWrap w:val="0"/>
              <w:overflowPunct/>
              <w:topLinePunct/>
              <w:autoSpaceDE/>
              <w:autoSpaceDN/>
              <w:bidi w:val="0"/>
              <w:adjustRightInd w:val="0"/>
              <w:snapToGrid w:val="0"/>
              <w:spacing w:before="185" w:line="360" w:lineRule="exact"/>
              <w:ind w:right="87"/>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1.全部货物送达指定地点、安装调试并验收合格后，双方签署验收合格证，中标人开具全额增值税发票给采购人，采购人履行相关手续后支付至总合同金额的95%。中标人履行相关配套服务</w:t>
            </w:r>
            <w:r>
              <w:rPr>
                <w:rFonts w:hint="eastAsia" w:asciiTheme="minorEastAsia" w:hAnsiTheme="minorEastAsia" w:cstheme="minorEastAsia"/>
                <w:snapToGrid w:val="0"/>
                <w:color w:val="000000"/>
                <w:spacing w:val="5"/>
                <w:kern w:val="0"/>
                <w:sz w:val="28"/>
                <w:szCs w:val="28"/>
                <w:lang w:val="en-US" w:eastAsia="zh-CN"/>
              </w:rPr>
              <w:t>期</w:t>
            </w:r>
            <w:r>
              <w:rPr>
                <w:rFonts w:hint="eastAsia" w:asciiTheme="minorEastAsia" w:hAnsiTheme="minorEastAsia" w:eastAsiaTheme="minorEastAsia" w:cstheme="minorEastAsia"/>
                <w:snapToGrid w:val="0"/>
                <w:color w:val="000000"/>
                <w:spacing w:val="5"/>
                <w:kern w:val="0"/>
                <w:sz w:val="28"/>
                <w:szCs w:val="28"/>
                <w:lang w:eastAsia="en-US"/>
              </w:rPr>
              <w:t>满</w:t>
            </w:r>
            <w:r>
              <w:rPr>
                <w:rFonts w:hint="eastAsia" w:asciiTheme="minorEastAsia" w:hAnsiTheme="minorEastAsia" w:cstheme="minorEastAsia"/>
                <w:snapToGrid w:val="0"/>
                <w:color w:val="000000"/>
                <w:spacing w:val="5"/>
                <w:kern w:val="0"/>
                <w:sz w:val="28"/>
                <w:szCs w:val="28"/>
                <w:lang w:val="en-US" w:eastAsia="zh-CN"/>
              </w:rPr>
              <w:t>后</w:t>
            </w:r>
            <w:r>
              <w:rPr>
                <w:rFonts w:hint="eastAsia" w:asciiTheme="minorEastAsia" w:hAnsiTheme="minorEastAsia" w:eastAsiaTheme="minorEastAsia" w:cstheme="minorEastAsia"/>
                <w:snapToGrid w:val="0"/>
                <w:color w:val="000000"/>
                <w:spacing w:val="5"/>
                <w:kern w:val="0"/>
                <w:sz w:val="28"/>
                <w:szCs w:val="28"/>
                <w:lang w:eastAsia="en-US"/>
              </w:rPr>
              <w:t>，且经采购人验收符合合同约定，并办理相关确认手续后，采购人支付至总合同金额的100%。</w:t>
            </w:r>
            <w:r>
              <w:rPr>
                <w:rFonts w:hint="eastAsia" w:asciiTheme="minorEastAsia" w:hAnsiTheme="minorEastAsia" w:eastAsiaTheme="minorEastAsia" w:cstheme="minorEastAsia"/>
                <w:snapToGrid w:val="0"/>
                <w:color w:val="000000"/>
                <w:spacing w:val="5"/>
                <w:kern w:val="0"/>
                <w:sz w:val="28"/>
                <w:szCs w:val="28"/>
                <w:lang w:eastAsia="en-US"/>
              </w:rPr>
              <w:br w:type="textWrapping"/>
            </w:r>
            <w:r>
              <w:rPr>
                <w:rFonts w:hint="eastAsia" w:asciiTheme="minorEastAsia" w:hAnsiTheme="minorEastAsia" w:eastAsiaTheme="minorEastAsia" w:cstheme="minorEastAsia"/>
                <w:snapToGrid w:val="0"/>
                <w:color w:val="000000"/>
                <w:spacing w:val="5"/>
                <w:kern w:val="0"/>
                <w:sz w:val="28"/>
                <w:szCs w:val="28"/>
                <w:lang w:eastAsia="en-US"/>
              </w:rPr>
              <w:t>2.付款前，中标人须提供符合</w:t>
            </w:r>
            <w:bookmarkStart w:id="15" w:name="_GoBack"/>
            <w:bookmarkEnd w:id="15"/>
            <w:r>
              <w:rPr>
                <w:rFonts w:hint="eastAsia" w:asciiTheme="minorEastAsia" w:hAnsiTheme="minorEastAsia" w:eastAsiaTheme="minorEastAsia" w:cstheme="minorEastAsia"/>
                <w:snapToGrid w:val="0"/>
                <w:color w:val="000000"/>
                <w:spacing w:val="5"/>
                <w:kern w:val="0"/>
                <w:sz w:val="28"/>
                <w:szCs w:val="28"/>
                <w:lang w:eastAsia="en-US"/>
              </w:rPr>
              <w:t>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kinsoku/>
              <w:wordWrap w:val="0"/>
              <w:overflowPunct/>
              <w:topLinePunct/>
              <w:autoSpaceDE/>
              <w:autoSpaceDN/>
              <w:bidi w:val="0"/>
              <w:adjustRightInd w:val="0"/>
              <w:snapToGrid w:val="0"/>
              <w:spacing w:before="176" w:line="360" w:lineRule="exact"/>
              <w:ind w:firstLine="292" w:firstLineChars="100"/>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9" w:name="_Toc204778408"/>
            <w:r>
              <w:rPr>
                <w:rFonts w:hint="eastAsia" w:asciiTheme="minorEastAsia" w:hAnsiTheme="minorEastAsia" w:eastAsiaTheme="minorEastAsia" w:cstheme="minorEastAsia"/>
                <w:snapToGrid w:val="0"/>
                <w:color w:val="000000"/>
                <w:spacing w:val="6"/>
                <w:kern w:val="0"/>
                <w:sz w:val="28"/>
                <w:szCs w:val="28"/>
                <w:lang w:eastAsia="en-US"/>
              </w:rPr>
              <w:t>8</w:t>
            </w:r>
            <w:bookmarkEnd w:id="9"/>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0" w:name="_Toc204778409"/>
            <w:r>
              <w:rPr>
                <w:rFonts w:hint="eastAsia" w:asciiTheme="minorEastAsia" w:hAnsiTheme="minorEastAsia" w:eastAsiaTheme="minorEastAsia" w:cstheme="minorEastAsia"/>
                <w:snapToGrid w:val="0"/>
                <w:color w:val="000000"/>
                <w:spacing w:val="6"/>
                <w:kern w:val="0"/>
                <w:sz w:val="28"/>
                <w:szCs w:val="28"/>
                <w:lang w:eastAsia="en-US"/>
              </w:rPr>
              <w:t>履约保证金</w:t>
            </w:r>
            <w:bookmarkEnd w:id="10"/>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eastAsiaTheme="minorEastAsia" w:cstheme="minorEastAsia"/>
                <w:snapToGrid w:val="0"/>
                <w:color w:val="000000"/>
                <w:spacing w:val="6"/>
                <w:kern w:val="0"/>
                <w:sz w:val="28"/>
                <w:szCs w:val="28"/>
                <w:lang w:val="en-US" w:eastAsia="zh-CN"/>
              </w:rPr>
              <w:t>无</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kinsoku/>
              <w:wordWrap w:val="0"/>
              <w:overflowPunct/>
              <w:topLinePunct/>
              <w:autoSpaceDE/>
              <w:autoSpaceDN/>
              <w:bidi w:val="0"/>
              <w:adjustRightInd w:val="0"/>
              <w:snapToGrid w:val="0"/>
              <w:spacing w:before="176" w:line="360" w:lineRule="exact"/>
              <w:ind w:left="125"/>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1" w:name="_Toc204778410"/>
            <w:r>
              <w:rPr>
                <w:rFonts w:hint="eastAsia" w:asciiTheme="minorEastAsia" w:hAnsiTheme="minorEastAsia" w:eastAsiaTheme="minorEastAsia" w:cstheme="minorEastAsia"/>
                <w:snapToGrid w:val="0"/>
                <w:color w:val="000000"/>
                <w:spacing w:val="6"/>
                <w:kern w:val="0"/>
                <w:sz w:val="28"/>
                <w:szCs w:val="28"/>
                <w:lang w:eastAsia="en-US"/>
              </w:rPr>
              <w:t>9</w:t>
            </w:r>
            <w:bookmarkEnd w:id="11"/>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991EA">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2" w:name="_Toc204778411"/>
            <w:r>
              <w:rPr>
                <w:rFonts w:hint="eastAsia" w:asciiTheme="minorEastAsia" w:hAnsiTheme="minorEastAsia" w:eastAsiaTheme="minorEastAsia" w:cstheme="minorEastAsia"/>
                <w:snapToGrid w:val="0"/>
                <w:color w:val="000000"/>
                <w:spacing w:val="6"/>
                <w:kern w:val="0"/>
                <w:sz w:val="28"/>
                <w:szCs w:val="28"/>
                <w:lang w:eastAsia="en-US"/>
              </w:rPr>
              <w:t>验收标准、验收方法及方案</w:t>
            </w:r>
            <w:bookmarkEnd w:id="12"/>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523FA18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1.中标人提供不符合采购文件、投标文件承诺的或本合同规定的货物，采购人有权拒绝接受。</w:t>
            </w:r>
          </w:p>
          <w:p w14:paraId="6E2400D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640572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1D5C252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7309DC4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5C544F7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6.中标人提供的货物或服务未达到招标文件规定的要求，且对采购人造成损失的，由中标人承担一切责任，并赔偿所造成的损失。</w:t>
            </w:r>
          </w:p>
          <w:p w14:paraId="297A0AC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49FD7AF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C6358C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291" w:type="pct"/>
            <w:vAlign w:val="center"/>
          </w:tcPr>
          <w:p w14:paraId="049188FA">
            <w:pPr>
              <w:keepNext/>
              <w:keepLines/>
              <w:pageBreakBefore w:val="0"/>
              <w:widowControl w:val="0"/>
              <w:kinsoku/>
              <w:wordWrap w:val="0"/>
              <w:overflowPunct/>
              <w:topLinePunct/>
              <w:autoSpaceDE/>
              <w:autoSpaceDN/>
              <w:bidi w:val="0"/>
              <w:adjustRightInd w:val="0"/>
              <w:snapToGrid w:val="0"/>
              <w:spacing w:before="71" w:line="360" w:lineRule="exact"/>
              <w:jc w:val="both"/>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10</w:t>
            </w:r>
          </w:p>
        </w:tc>
        <w:tc>
          <w:tcPr>
            <w:tcW w:w="700" w:type="pct"/>
            <w:vAlign w:val="center"/>
          </w:tcPr>
          <w:p w14:paraId="05982275">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违约责任</w:t>
            </w:r>
          </w:p>
          <w:p w14:paraId="386EA62A">
            <w:pPr>
              <w:keepNext/>
              <w:keepLines/>
              <w:pageBreakBefore w:val="0"/>
              <w:widowControl w:val="0"/>
              <w:kinsoku/>
              <w:wordWrap w:val="0"/>
              <w:overflowPunct/>
              <w:topLinePunct/>
              <w:autoSpaceDE/>
              <w:autoSpaceDN/>
              <w:bidi w:val="0"/>
              <w:adjustRightInd w:val="0"/>
              <w:snapToGrid w:val="0"/>
              <w:spacing w:before="71" w:line="360" w:lineRule="exact"/>
              <w:ind w:left="788"/>
              <w:jc w:val="center"/>
              <w:textAlignment w:val="baseline"/>
              <w:rPr>
                <w:rFonts w:hint="eastAsia" w:asciiTheme="minorEastAsia" w:hAnsiTheme="minorEastAsia" w:eastAsiaTheme="minorEastAsia" w:cstheme="minorEastAsia"/>
                <w:snapToGrid w:val="0"/>
                <w:color w:val="000000"/>
                <w:kern w:val="0"/>
                <w:sz w:val="28"/>
                <w:szCs w:val="28"/>
                <w:lang w:eastAsia="en-US"/>
              </w:rPr>
            </w:pPr>
          </w:p>
        </w:tc>
        <w:tc>
          <w:tcPr>
            <w:tcW w:w="4007" w:type="pct"/>
          </w:tcPr>
          <w:p w14:paraId="07E973E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1.中标人所提供的货物规格、技术标准、材料等质量不合格</w:t>
            </w:r>
            <w:r>
              <w:rPr>
                <w:rFonts w:hint="eastAsia" w:asciiTheme="minorEastAsia" w:hAnsiTheme="minorEastAsia" w:eastAsiaTheme="minorEastAsia" w:cstheme="minorEastAsia"/>
                <w:snapToGrid w:val="0"/>
                <w:color w:val="000000"/>
                <w:kern w:val="0"/>
                <w:sz w:val="28"/>
                <w:szCs w:val="28"/>
                <w:lang w:eastAsia="en-US"/>
              </w:rPr>
              <w:t>或不符合相关法律法规的，应按要求在5日内更换完毕，更</w:t>
            </w:r>
            <w:r>
              <w:rPr>
                <w:rFonts w:hint="eastAsia" w:asciiTheme="minorEastAsia" w:hAnsiTheme="minorEastAsia" w:eastAsiaTheme="minorEastAsia" w:cstheme="minorEastAsia"/>
                <w:snapToGrid w:val="0"/>
                <w:color w:val="000000"/>
                <w:spacing w:val="-1"/>
                <w:kern w:val="0"/>
                <w:sz w:val="28"/>
                <w:szCs w:val="28"/>
                <w:lang w:eastAsia="en-US"/>
              </w:rPr>
              <w:t>换不</w:t>
            </w:r>
            <w:r>
              <w:rPr>
                <w:rFonts w:hint="eastAsia" w:asciiTheme="minorEastAsia" w:hAnsiTheme="minorEastAsia" w:eastAsiaTheme="minorEastAsia" w:cstheme="minorEastAsia"/>
                <w:snapToGrid w:val="0"/>
                <w:color w:val="000000"/>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Theme="minorEastAsia" w:hAnsiTheme="minorEastAsia" w:eastAsiaTheme="minorEastAsia" w:cstheme="minorEastAsia"/>
                <w:snapToGrid w:val="0"/>
                <w:color w:val="000000"/>
                <w:spacing w:val="6"/>
                <w:kern w:val="0"/>
                <w:sz w:val="28"/>
                <w:szCs w:val="28"/>
                <w:lang w:eastAsia="en-US"/>
              </w:rPr>
              <w:t>料或资质材料到期未及时更新提供的</w:t>
            </w:r>
            <w:r>
              <w:rPr>
                <w:rFonts w:hint="eastAsia" w:asciiTheme="minorEastAsia" w:hAnsiTheme="minorEastAsia" w:eastAsiaTheme="minorEastAsia" w:cstheme="minorEastAsia"/>
                <w:snapToGrid w:val="0"/>
                <w:color w:val="000000"/>
                <w:spacing w:val="2"/>
                <w:kern w:val="0"/>
                <w:sz w:val="28"/>
                <w:szCs w:val="28"/>
                <w:lang w:eastAsia="en-US"/>
              </w:rPr>
              <w:t>），</w:t>
            </w:r>
            <w:r>
              <w:rPr>
                <w:rFonts w:hint="eastAsia" w:asciiTheme="minorEastAsia" w:hAnsiTheme="minorEastAsia" w:eastAsiaTheme="minorEastAsia" w:cstheme="minorEastAsia"/>
                <w:snapToGrid w:val="0"/>
                <w:color w:val="000000"/>
                <w:spacing w:val="6"/>
                <w:kern w:val="0"/>
                <w:sz w:val="28"/>
                <w:szCs w:val="28"/>
                <w:lang w:eastAsia="en-US"/>
              </w:rPr>
              <w:t>采购人可以要求</w:t>
            </w:r>
            <w:r>
              <w:rPr>
                <w:rFonts w:hint="eastAsia" w:asciiTheme="minorEastAsia" w:hAnsiTheme="minorEastAsia" w:eastAsiaTheme="minorEastAsia" w:cstheme="minorEastAsia"/>
                <w:snapToGrid w:val="0"/>
                <w:color w:val="000000"/>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Theme="minorEastAsia" w:hAnsiTheme="minorEastAsia" w:eastAsiaTheme="minorEastAsia" w:cstheme="minorEastAsia"/>
                <w:snapToGrid w:val="0"/>
                <w:color w:val="000000"/>
                <w:spacing w:val="-1"/>
                <w:kern w:val="0"/>
                <w:sz w:val="28"/>
                <w:szCs w:val="28"/>
                <w:lang w:eastAsia="en-US"/>
              </w:rPr>
              <w:t>货款额的</w:t>
            </w:r>
            <w:r>
              <w:rPr>
                <w:rFonts w:hint="eastAsia" w:asciiTheme="minorEastAsia" w:hAnsiTheme="minorEastAsia" w:eastAsiaTheme="minorEastAsia" w:cstheme="minorEastAsia"/>
                <w:snapToGrid w:val="0"/>
                <w:color w:val="000000"/>
                <w:spacing w:val="-42"/>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5%违约金并赔偿采购人经济损失。</w:t>
            </w:r>
          </w:p>
          <w:p w14:paraId="2210F65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2.中标人提供的货物如侵犯了第三方合法权益而引发的任何纠纷或诉讼，均由中标人负责交涉并承担全部责任。如因提供的</w:t>
            </w:r>
            <w:r>
              <w:rPr>
                <w:rFonts w:hint="eastAsia" w:asciiTheme="minorEastAsia" w:hAnsiTheme="minorEastAsia" w:eastAsiaTheme="minorEastAsia" w:cstheme="minorEastAsia"/>
                <w:snapToGrid w:val="0"/>
                <w:color w:val="000000"/>
                <w:spacing w:val="6"/>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3.因包装、运输引起的货物损坏，按质量不合格处理。</w:t>
            </w:r>
          </w:p>
          <w:p w14:paraId="0D8A755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4.中标人逾期交货的，每天向采购人偿付该逾期交付货物金额的3‰违约金，但违约金累计不得超过该批货款额的5%。超过</w:t>
            </w:r>
            <w:r>
              <w:rPr>
                <w:rFonts w:hint="eastAsia" w:asciiTheme="minorEastAsia" w:hAnsiTheme="minorEastAsia" w:cstheme="minorEastAsia"/>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lang w:eastAsia="en-US"/>
              </w:rPr>
              <w:t>0天采购人有权解除合同，中标人承担因此给采购人造成的经济损失。</w:t>
            </w:r>
          </w:p>
          <w:p w14:paraId="13C3963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6.中标人提供的货物在质量保证期内，因设计、工艺或材料的缺陷和其他质量原因造成的问题的，产生的维修或更换费用、 给采购人造成的经济损失均由中标人承担。</w:t>
            </w:r>
          </w:p>
          <w:p w14:paraId="0F4B414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8.将本项目转让、分包给他人的，一经发现，采购人有权单</w:t>
            </w:r>
            <w:r>
              <w:rPr>
                <w:rFonts w:hint="eastAsia" w:asciiTheme="minorEastAsia" w:hAnsiTheme="minorEastAsia" w:eastAsiaTheme="minorEastAsia" w:cstheme="minorEastAsia"/>
                <w:snapToGrid w:val="0"/>
                <w:color w:val="000000"/>
                <w:spacing w:val="-1"/>
                <w:kern w:val="0"/>
                <w:sz w:val="28"/>
                <w:szCs w:val="28"/>
                <w:lang w:eastAsia="en-US"/>
              </w:rPr>
              <w:t>方终止协议，并有权要求中标人承担由此造成的一切经济损失。</w:t>
            </w:r>
          </w:p>
          <w:p w14:paraId="7E48F64A">
            <w:pPr>
              <w:keepNext/>
              <w:keepLines/>
              <w:pageBreakBefore w:val="0"/>
              <w:widowControl w:val="0"/>
              <w:kinsoku/>
              <w:wordWrap w:val="0"/>
              <w:overflowPunct/>
              <w:topLinePunct/>
              <w:autoSpaceDE/>
              <w:autoSpaceDN/>
              <w:bidi w:val="0"/>
              <w:adjustRightInd w:val="0"/>
              <w:snapToGrid w:val="0"/>
              <w:spacing w:line="360" w:lineRule="exact"/>
              <w:ind w:left="113" w:right="85" w:firstLine="556"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9.其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1"/>
                <w:kern w:val="0"/>
                <w:sz w:val="28"/>
                <w:szCs w:val="28"/>
                <w:lang w:eastAsia="en-US"/>
              </w:rPr>
              <w:t>违约行为按违约货款额</w:t>
            </w:r>
            <w:r>
              <w:rPr>
                <w:rFonts w:hint="eastAsia" w:asciiTheme="minorEastAsia" w:hAnsiTheme="minorEastAsia" w:eastAsiaTheme="minorEastAsia" w:cstheme="minorEastAsia"/>
                <w:snapToGrid w:val="0"/>
                <w:color w:val="000000"/>
                <w:spacing w:val="-35"/>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5%收取违约金并赔偿经济损</w:t>
            </w:r>
            <w:r>
              <w:rPr>
                <w:rFonts w:hint="eastAsia" w:asciiTheme="minorEastAsia" w:hAnsiTheme="minorEastAsia" w:eastAsiaTheme="minorEastAsia" w:cstheme="minorEastAsia"/>
                <w:snapToGrid w:val="0"/>
                <w:color w:val="000000"/>
                <w:spacing w:val="-12"/>
                <w:kern w:val="0"/>
                <w:sz w:val="28"/>
                <w:szCs w:val="28"/>
                <w:lang w:eastAsia="en-US"/>
              </w:rPr>
              <w:t>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jc w:val="center"/>
        </w:trPr>
        <w:tc>
          <w:tcPr>
            <w:tcW w:w="291" w:type="pct"/>
            <w:vAlign w:val="center"/>
          </w:tcPr>
          <w:p w14:paraId="04CF946B">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11</w:t>
            </w:r>
          </w:p>
        </w:tc>
        <w:tc>
          <w:tcPr>
            <w:tcW w:w="700" w:type="pct"/>
            <w:vAlign w:val="center"/>
          </w:tcPr>
          <w:p w14:paraId="464DB67D">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2"/>
                <w:kern w:val="0"/>
                <w:sz w:val="28"/>
                <w:szCs w:val="28"/>
                <w:lang w:eastAsia="en-US"/>
              </w:rPr>
              <w:t>使用期限要求</w:t>
            </w:r>
          </w:p>
        </w:tc>
        <w:tc>
          <w:tcPr>
            <w:tcW w:w="4007" w:type="pct"/>
          </w:tcPr>
          <w:p w14:paraId="2E5EBA1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1.中标人所提供货物如有“使用期限”要求的，需逐台写明该设备的“使用期限”。</w:t>
            </w:r>
          </w:p>
          <w:p w14:paraId="03150428">
            <w:pPr>
              <w:keepNext/>
              <w:keepLines/>
              <w:pageBreakBefore w:val="0"/>
              <w:widowControl w:val="0"/>
              <w:kinsoku/>
              <w:wordWrap w:val="0"/>
              <w:overflowPunct/>
              <w:topLinePunct/>
              <w:autoSpaceDE/>
              <w:autoSpaceDN/>
              <w:bidi w:val="0"/>
              <w:adjustRightInd w:val="0"/>
              <w:snapToGrid w:val="0"/>
              <w:spacing w:line="360" w:lineRule="exact"/>
              <w:ind w:left="113" w:right="85" w:firstLine="582" w:firstLineChars="200"/>
              <w:jc w:val="left"/>
              <w:textAlignment w:val="baseline"/>
              <w:rPr>
                <w:rFonts w:hint="eastAsia" w:asciiTheme="minorEastAsia" w:hAnsiTheme="minorEastAsia" w:eastAsiaTheme="minorEastAsia" w:cstheme="minorEastAsia"/>
                <w:b/>
                <w:bCs/>
                <w:snapToGrid w:val="0"/>
                <w:color w:val="auto"/>
                <w:spacing w:val="5"/>
                <w:kern w:val="0"/>
                <w:sz w:val="28"/>
                <w:szCs w:val="28"/>
                <w:lang w:eastAsia="en-US"/>
              </w:rPr>
            </w:pPr>
            <w:r>
              <w:rPr>
                <w:rFonts w:hint="eastAsia" w:asciiTheme="minorEastAsia" w:hAnsiTheme="minorEastAsia" w:eastAsiaTheme="minorEastAsia" w:cstheme="minorEastAsia"/>
                <w:b/>
                <w:bCs/>
                <w:snapToGrid w:val="0"/>
                <w:color w:val="auto"/>
                <w:spacing w:val="5"/>
                <w:kern w:val="0"/>
                <w:sz w:val="28"/>
                <w:szCs w:val="28"/>
                <w:lang w:eastAsia="en-US"/>
              </w:rPr>
              <w:t>2.中标人交货时，所提供货物如有“使用期限”要求的，应符合以下要求：所提供货物的“剩余使用期限”需大于等于该货物“使用期限”的 95%</w:t>
            </w:r>
          </w:p>
          <w:p w14:paraId="584D2E2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3.“使用期限”指《医疗器械监督管理条例（中华人民共和国国务院令第739 号）》及相关法规指明的“使用期限”。</w:t>
            </w:r>
          </w:p>
          <w:p w14:paraId="23F13E4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3" w:name="_Toc204778412"/>
            <w:r>
              <w:rPr>
                <w:rFonts w:hint="eastAsia" w:asciiTheme="minorEastAsia" w:hAnsiTheme="minorEastAsia" w:eastAsiaTheme="minorEastAsia" w:cstheme="minorEastAsia"/>
                <w:snapToGrid w:val="0"/>
                <w:color w:val="000000"/>
                <w:spacing w:val="6"/>
                <w:kern w:val="0"/>
                <w:sz w:val="28"/>
                <w:szCs w:val="28"/>
                <w:lang w:eastAsia="en-US"/>
              </w:rPr>
              <w:t>12</w:t>
            </w:r>
            <w:bookmarkEnd w:id="13"/>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C47E8">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4" w:name="_Toc204778413"/>
            <w:r>
              <w:rPr>
                <w:rFonts w:hint="eastAsia" w:asciiTheme="minorEastAsia" w:hAnsiTheme="minorEastAsia" w:eastAsiaTheme="minorEastAsia" w:cstheme="minorEastAsia"/>
                <w:snapToGrid w:val="0"/>
                <w:color w:val="000000"/>
                <w:spacing w:val="6"/>
                <w:kern w:val="0"/>
                <w:sz w:val="28"/>
                <w:szCs w:val="28"/>
                <w:lang w:eastAsia="en-US"/>
              </w:rPr>
              <w:t>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6"/>
                <w:kern w:val="0"/>
                <w:sz w:val="28"/>
                <w:szCs w:val="28"/>
                <w:lang w:eastAsia="en-US"/>
              </w:rPr>
              <w:t>要求</w:t>
            </w:r>
            <w:bookmarkEnd w:id="14"/>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2BFF758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24DC67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2.中标人在供货时必须提供所投标产品生产厂家合法授权的厂家代理商出具的授权书</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原件备查。</w:t>
            </w:r>
          </w:p>
          <w:p w14:paraId="7CC3A30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3.中标人逾期交货的，每天向采购人偿付违约货款额</w:t>
            </w:r>
            <w:r>
              <w:rPr>
                <w:rFonts w:hint="eastAsia" w:asciiTheme="minorEastAsia" w:hAnsiTheme="minorEastAsia" w:cstheme="minorEastAsia"/>
                <w:snapToGrid w:val="0"/>
                <w:color w:val="000000"/>
                <w:spacing w:val="5"/>
                <w:kern w:val="0"/>
                <w:sz w:val="28"/>
                <w:szCs w:val="28"/>
                <w:lang w:val="en-US" w:eastAsia="zh-CN"/>
              </w:rPr>
              <w:t>3</w:t>
            </w:r>
            <w:r>
              <w:rPr>
                <w:rFonts w:hint="eastAsia" w:asciiTheme="minorEastAsia" w:hAnsiTheme="minorEastAsia" w:eastAsiaTheme="minorEastAsia" w:cstheme="minorEastAsia"/>
                <w:snapToGrid w:val="0"/>
                <w:color w:val="000000"/>
                <w:spacing w:val="5"/>
                <w:kern w:val="0"/>
                <w:sz w:val="28"/>
                <w:szCs w:val="28"/>
                <w:lang w:eastAsia="en-US"/>
              </w:rPr>
              <w:t>‰违约金，超过</w:t>
            </w:r>
            <w:r>
              <w:rPr>
                <w:rFonts w:hint="eastAsia" w:asciiTheme="minorEastAsia" w:hAnsiTheme="minorEastAsia" w:cstheme="minorEastAsia"/>
                <w:snapToGrid w:val="0"/>
                <w:color w:val="000000"/>
                <w:spacing w:val="5"/>
                <w:kern w:val="0"/>
                <w:sz w:val="28"/>
                <w:szCs w:val="28"/>
                <w:lang w:val="en-US" w:eastAsia="zh-CN"/>
              </w:rPr>
              <w:t>20</w:t>
            </w:r>
            <w:r>
              <w:rPr>
                <w:rFonts w:hint="eastAsia" w:asciiTheme="minorEastAsia" w:hAnsiTheme="minorEastAsia" w:eastAsiaTheme="minorEastAsia" w:cstheme="minorEastAsia"/>
                <w:snapToGrid w:val="0"/>
                <w:color w:val="000000"/>
                <w:spacing w:val="5"/>
                <w:kern w:val="0"/>
                <w:sz w:val="28"/>
                <w:szCs w:val="28"/>
                <w:lang w:eastAsia="en-US"/>
              </w:rPr>
              <w:t>天采购人有权解除合同，中标人应按合同总金额的</w:t>
            </w:r>
            <w:r>
              <w:rPr>
                <w:rFonts w:hint="eastAsia" w:asciiTheme="minorEastAsia" w:hAnsiTheme="minorEastAsia" w:cstheme="minorEastAsia"/>
                <w:snapToGrid w:val="0"/>
                <w:color w:val="000000"/>
                <w:spacing w:val="5"/>
                <w:kern w:val="0"/>
                <w:sz w:val="28"/>
                <w:szCs w:val="28"/>
                <w:lang w:val="en-US" w:eastAsia="zh-CN"/>
              </w:rPr>
              <w:t>5</w:t>
            </w:r>
            <w:r>
              <w:rPr>
                <w:rFonts w:hint="eastAsia" w:asciiTheme="minorEastAsia" w:hAnsiTheme="minorEastAsia" w:eastAsiaTheme="minorEastAsia" w:cstheme="minorEastAsia"/>
                <w:snapToGrid w:val="0"/>
                <w:color w:val="000000"/>
                <w:spacing w:val="5"/>
                <w:kern w:val="0"/>
                <w:sz w:val="28"/>
                <w:szCs w:val="28"/>
                <w:lang w:eastAsia="en-US"/>
              </w:rPr>
              <w:t>%向采购人支付违约金，并承担因此给采购人造成的经济损失。</w:t>
            </w:r>
          </w:p>
          <w:p w14:paraId="785382D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4.全文明作业规范要求进行的，尤其是</w:t>
            </w:r>
            <w:r>
              <w:rPr>
                <w:rFonts w:hint="eastAsia" w:asciiTheme="minorEastAsia" w:hAnsiTheme="minorEastAsia" w:eastAsiaTheme="minorEastAsia" w:cstheme="minorEastAsia"/>
                <w:snapToGrid w:val="0"/>
                <w:color w:val="auto"/>
                <w:spacing w:val="5"/>
                <w:kern w:val="0"/>
                <w:sz w:val="28"/>
                <w:szCs w:val="28"/>
                <w:lang w:eastAsia="en-US"/>
              </w:rPr>
              <w:t>违反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36D0585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5.在安装期间，未按安全文明作业规范要求进行的，尤其</w:t>
            </w:r>
            <w:r>
              <w:rPr>
                <w:rFonts w:hint="eastAsia" w:asciiTheme="minorEastAsia" w:hAnsiTheme="minorEastAsia" w:eastAsiaTheme="minorEastAsia" w:cstheme="minorEastAsia"/>
                <w:snapToGrid w:val="0"/>
                <w:color w:val="auto"/>
                <w:spacing w:val="5"/>
                <w:kern w:val="0"/>
                <w:sz w:val="28"/>
                <w:szCs w:val="28"/>
                <w:lang w:eastAsia="en-US"/>
              </w:rPr>
              <w:t>是违</w:t>
            </w:r>
            <w:r>
              <w:rPr>
                <w:rFonts w:hint="eastAsia" w:asciiTheme="minorEastAsia" w:hAnsiTheme="minorEastAsia" w:eastAsiaTheme="minorEastAsia" w:cstheme="minorEastAsia"/>
                <w:snapToGrid w:val="0"/>
                <w:color w:val="auto"/>
                <w:spacing w:val="5"/>
                <w:kern w:val="0"/>
                <w:sz w:val="28"/>
                <w:szCs w:val="28"/>
                <w:lang w:val="en-US" w:eastAsia="zh-CN"/>
              </w:rPr>
              <w:t>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4A775C1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 xml:space="preserve">6.发生其他安装和维保不合格情况的，限期整改不合格的，视情节严重情况扣除合同款项10-1000元/次。情节特别严重，导致项目无法实施的，采购人免责终止该项目合同。 </w:t>
            </w:r>
          </w:p>
        </w:tc>
      </w:tr>
    </w:tbl>
    <w:p w14:paraId="064402EC">
      <w:pPr>
        <w:autoSpaceDE w:val="0"/>
        <w:autoSpaceDN w:val="0"/>
        <w:adjustRightInd w:val="0"/>
        <w:spacing w:line="360" w:lineRule="auto"/>
        <w:ind w:left="420" w:leftChars="200"/>
        <w:jc w:val="left"/>
        <w:rPr>
          <w:rFonts w:hint="default" w:ascii="宋体" w:hAnsi="宋体" w:eastAsia="宋体" w:cs="Times New Roman"/>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7421"/>
    <w:rsid w:val="062C51A3"/>
    <w:rsid w:val="0701218C"/>
    <w:rsid w:val="07830AAA"/>
    <w:rsid w:val="13693592"/>
    <w:rsid w:val="1C02002B"/>
    <w:rsid w:val="1FC63B1B"/>
    <w:rsid w:val="2D713318"/>
    <w:rsid w:val="2DEA30CA"/>
    <w:rsid w:val="2FC25D7B"/>
    <w:rsid w:val="30C3032E"/>
    <w:rsid w:val="32BD1870"/>
    <w:rsid w:val="32E75E2A"/>
    <w:rsid w:val="34FD1935"/>
    <w:rsid w:val="3C0941EB"/>
    <w:rsid w:val="3EA03A5D"/>
    <w:rsid w:val="481B05F8"/>
    <w:rsid w:val="49521DF7"/>
    <w:rsid w:val="4A6242BC"/>
    <w:rsid w:val="4E2B47CD"/>
    <w:rsid w:val="53B10062"/>
    <w:rsid w:val="585D4315"/>
    <w:rsid w:val="607B5C80"/>
    <w:rsid w:val="69407A67"/>
    <w:rsid w:val="6C8D4D71"/>
    <w:rsid w:val="6F1D0466"/>
    <w:rsid w:val="7084648B"/>
    <w:rsid w:val="715440AF"/>
    <w:rsid w:val="718B3849"/>
    <w:rsid w:val="724B6768"/>
    <w:rsid w:val="7A223832"/>
    <w:rsid w:val="7AA10E5C"/>
    <w:rsid w:val="7C13614C"/>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paragraph" w:customStyle="1" w:styleId="5">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3703</Words>
  <Characters>3872</Characters>
  <Lines>0</Lines>
  <Paragraphs>0</Paragraphs>
  <TotalTime>18</TotalTime>
  <ScaleCrop>false</ScaleCrop>
  <LinksUpToDate>false</LinksUpToDate>
  <CharactersWithSpaces>3886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2025-12-18T07:18:00Z</dcterms:created>
  <dc:creator>user</dc:creator>
  <cp:lastModifiedBy>apollo123</cp:lastModifiedBy>
  <dcterms:modified xsi:type="dcterms:W3CDTF">2025-12-31T02:46:40Z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eyJoZGlkIjoiOGUxNzZkMmQ3N2IyYzdlZDQxMzZlOTA3MjhlYmU3MTIiLCJ1c2VySWQiOiI3MjI0MjIxMDgifQ==</vt:lpwstr>
  </property>
  <property fmtid="{D5CDD505-2E9C-101B-9397-08002B2CF9AE}" pid="4" name="ICV">
    <vt:lpwstr>AA748B828D83444D8C0DA888AECB22E0_12</vt:lpwstr>
  </property>
</Properties>
</file>