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E689">
      <w:pPr>
        <w:pStyle w:val="2"/>
        <w:keepNext w:val="0"/>
        <w:keepLines w:val="0"/>
        <w:widowControl/>
        <w:suppressLineNumbers w:val="0"/>
      </w:pPr>
      <w:r>
        <w:t xml:space="preserve">除颤监护仪需求参数 </w:t>
      </w:r>
    </w:p>
    <w:p w14:paraId="2CEA5CD1">
      <w:pPr>
        <w:pStyle w:val="2"/>
        <w:keepNext w:val="0"/>
        <w:keepLines w:val="0"/>
        <w:widowControl/>
        <w:suppressLineNumbers w:val="0"/>
      </w:pPr>
      <w:r>
        <w:t xml:space="preserve">▲1、适用患者手动除颤、同步复律、AED、起搏、心电监护。 </w:t>
      </w:r>
    </w:p>
    <w:p w14:paraId="179E4224">
      <w:pPr>
        <w:pStyle w:val="2"/>
        <w:keepNext w:val="0"/>
        <w:keepLines w:val="0"/>
        <w:widowControl/>
        <w:suppressLineNumbers w:val="0"/>
      </w:pPr>
      <w:r>
        <w:t xml:space="preserve">▲2、支持 3/5导联心电监护功能，可监测心率失常分析不少于24种。 </w:t>
      </w:r>
    </w:p>
    <w:p w14:paraId="191FA685">
      <w:pPr>
        <w:pStyle w:val="2"/>
        <w:keepNext w:val="0"/>
        <w:keepLines w:val="0"/>
        <w:widowControl/>
        <w:suppressLineNumbers w:val="0"/>
      </w:pPr>
      <w:r>
        <w:t xml:space="preserve">▲3、具备双相波形，自动补偿功能。 </w:t>
      </w:r>
    </w:p>
    <w:p w14:paraId="7797BCC2">
      <w:pPr>
        <w:pStyle w:val="2"/>
        <w:keepNext w:val="0"/>
        <w:keepLines w:val="0"/>
        <w:widowControl/>
        <w:suppressLineNumbers w:val="0"/>
      </w:pPr>
      <w:r>
        <w:t xml:space="preserve">▲4、具备手动除颤和同步除颤，可预设开机为手动或自动模式，可自由切换。▲5、最大能量可达360J；手动除颤可选最小能量1J。 </w:t>
      </w:r>
    </w:p>
    <w:p w14:paraId="1E285AAA">
      <w:pPr>
        <w:pStyle w:val="2"/>
        <w:keepNext w:val="0"/>
        <w:keepLines w:val="0"/>
        <w:widowControl/>
        <w:suppressLineNumbers w:val="0"/>
      </w:pPr>
      <w:r>
        <w:t xml:space="preserve">6、具有旋钮式能量选择，可快速选择能量。 </w:t>
      </w:r>
    </w:p>
    <w:p w14:paraId="30674B8D">
      <w:pPr>
        <w:pStyle w:val="2"/>
        <w:keepNext w:val="0"/>
        <w:keepLines w:val="0"/>
        <w:widowControl/>
        <w:suppressLineNumbers w:val="0"/>
      </w:pPr>
      <w:r>
        <w:t xml:space="preserve">7、具备实时自动测定病人阻抗，可根据病人阻抗值的大小调节。 </w:t>
      </w:r>
    </w:p>
    <w:p w14:paraId="73A5452E">
      <w:pPr>
        <w:pStyle w:val="2"/>
        <w:keepNext w:val="0"/>
        <w:keepLines w:val="0"/>
        <w:widowControl/>
        <w:suppressLineNumbers w:val="0"/>
      </w:pPr>
      <w:r>
        <w:t xml:space="preserve">8、具有可升级 SP02、NIBP、EtC02等功能。 </w:t>
      </w:r>
    </w:p>
    <w:p w14:paraId="6569F147">
      <w:pPr>
        <w:pStyle w:val="2"/>
        <w:keepNext w:val="0"/>
        <w:keepLines w:val="0"/>
        <w:widowControl/>
        <w:suppressLineNumbers w:val="0"/>
      </w:pPr>
      <w:r>
        <w:t xml:space="preserve">9、配置50mm 记录仪，可打印各参数信息。 </w:t>
      </w:r>
    </w:p>
    <w:p w14:paraId="724E13DC">
      <w:pPr>
        <w:pStyle w:val="2"/>
        <w:keepNext w:val="0"/>
        <w:keepLines w:val="0"/>
        <w:widowControl/>
        <w:suppressLineNumbers w:val="0"/>
      </w:pPr>
      <w:r>
        <w:t xml:space="preserve">▲10、配备成人/儿童一体化电极板。 </w:t>
      </w:r>
    </w:p>
    <w:p w14:paraId="673B3AB7">
      <w:pPr>
        <w:pStyle w:val="2"/>
        <w:keepNext w:val="0"/>
        <w:keepLines w:val="0"/>
        <w:widowControl/>
        <w:suppressLineNumbers w:val="0"/>
      </w:pPr>
      <w:r>
        <w:t>▲11、充电至200J</w:t>
      </w:r>
      <w:r>
        <w:rPr>
          <w:rFonts w:hint="eastAsia"/>
          <w:lang w:val="en-US" w:eastAsia="zh-CN"/>
        </w:rPr>
        <w:t xml:space="preserve"> </w:t>
      </w:r>
      <w:r>
        <w:t xml:space="preserve">4s。 </w:t>
      </w:r>
    </w:p>
    <w:p w14:paraId="7E8743BD">
      <w:pPr>
        <w:pStyle w:val="2"/>
        <w:keepNext w:val="0"/>
        <w:keepLines w:val="0"/>
        <w:widowControl/>
        <w:suppressLineNumbers w:val="0"/>
      </w:pPr>
      <w:r>
        <w:t xml:space="preserve">12、具备生理报警和技术报警功能。 </w:t>
      </w:r>
    </w:p>
    <w:p w14:paraId="2DDB223E">
      <w:pPr>
        <w:pStyle w:val="2"/>
        <w:keepNext w:val="0"/>
        <w:keepLines w:val="0"/>
        <w:widowControl/>
        <w:suppressLineNumbers w:val="0"/>
      </w:pPr>
      <w:r>
        <w:t xml:space="preserve">13、显示器尺寸：≥7英寸。 </w:t>
      </w:r>
    </w:p>
    <w:p w14:paraId="53D729EC">
      <w:pPr>
        <w:pStyle w:val="2"/>
        <w:keepNext w:val="0"/>
        <w:keepLines w:val="0"/>
        <w:widowControl/>
        <w:suppressLineNumbers w:val="0"/>
      </w:pPr>
      <w:r>
        <w:t xml:space="preserve">14、显示波形：≥4道波形图。 </w:t>
      </w:r>
    </w:p>
    <w:p w14:paraId="106A498F">
      <w:pPr>
        <w:pStyle w:val="2"/>
        <w:keepNext w:val="0"/>
        <w:keepLines w:val="0"/>
        <w:widowControl/>
        <w:suppressLineNumbers w:val="0"/>
      </w:pPr>
      <w:r>
        <w:t xml:space="preserve">15、防尘防水级别≥IP44。 </w:t>
      </w:r>
    </w:p>
    <w:p w14:paraId="5995860B">
      <w:pPr>
        <w:pStyle w:val="2"/>
        <w:keepNext w:val="0"/>
        <w:keepLines w:val="0"/>
        <w:widowControl/>
        <w:suppressLineNumbers w:val="0"/>
      </w:pPr>
      <w:r>
        <w:t xml:space="preserve">16、具备可充电式锂电池，满足最大能量放电≥100次。 </w:t>
      </w:r>
    </w:p>
    <w:p w14:paraId="618EA6DE">
      <w:pPr>
        <w:pStyle w:val="2"/>
        <w:keepNext w:val="0"/>
        <w:keepLines w:val="0"/>
        <w:widowControl/>
        <w:suppressLineNumbers w:val="0"/>
      </w:pPr>
      <w:r>
        <w:t xml:space="preserve">17、具备存储功能，可存储不局限于事件总结、生命体征趋势等。 </w:t>
      </w:r>
    </w:p>
    <w:p w14:paraId="197B3DEE">
      <w:pPr>
        <w:pStyle w:val="2"/>
        <w:keepNext w:val="0"/>
        <w:keepLines w:val="0"/>
        <w:widowControl/>
        <w:suppressLineNumbers w:val="0"/>
      </w:pPr>
      <w:r>
        <w:rPr>
          <w:rFonts w:hint="eastAsia" w:ascii="宋体" w:hAnsi="宋体" w:eastAsia="宋体" w:cs="宋体"/>
        </w:rPr>
        <w:t>▲</w:t>
      </w:r>
      <w:r>
        <w:t xml:space="preserve">配置清单： </w:t>
      </w:r>
    </w:p>
    <w:p w14:paraId="3994129D">
      <w:pPr>
        <w:pStyle w:val="2"/>
        <w:keepNext w:val="0"/>
        <w:keepLines w:val="0"/>
        <w:widowControl/>
        <w:suppressLineNumbers w:val="0"/>
      </w:pPr>
      <w:r>
        <w:t xml:space="preserve">1、主机1台，2、心电导联线1套，3、体外除颤电极板1套，4、锂电池(含充1台，5、记录仪1个，6、台车1台，7、导电膏1瓶。 </w:t>
      </w:r>
    </w:p>
    <w:p w14:paraId="3919F5D2">
      <w:pPr>
        <w:pStyle w:val="2"/>
        <w:keepNext w:val="0"/>
        <w:keepLines w:val="0"/>
        <w:widowControl/>
        <w:suppressLineNumbers w:val="0"/>
      </w:pPr>
    </w:p>
    <w:p w14:paraId="0F2D40DA">
      <w:pPr>
        <w:pStyle w:val="2"/>
        <w:keepNext w:val="0"/>
        <w:keepLines w:val="0"/>
        <w:widowControl/>
        <w:suppressLineNumbers w:val="0"/>
      </w:pPr>
    </w:p>
    <w:p w14:paraId="0CBBB5D7">
      <w:pPr>
        <w:pStyle w:val="2"/>
        <w:keepNext w:val="0"/>
        <w:keepLines w:val="0"/>
        <w:widowControl/>
        <w:suppressLineNumbers w:val="0"/>
      </w:pPr>
    </w:p>
    <w:p w14:paraId="3D976B10">
      <w:pPr>
        <w:pStyle w:val="2"/>
        <w:keepNext w:val="0"/>
        <w:keepLines w:val="0"/>
        <w:widowControl/>
        <w:suppressLineNumbers w:val="0"/>
      </w:pPr>
    </w:p>
    <w:tbl>
      <w:tblPr>
        <w:tblStyle w:val="6"/>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5"/>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0" w:hRule="atLeast"/>
          <w:jc w:val="center"/>
        </w:trPr>
        <w:tc>
          <w:tcPr>
            <w:tcW w:w="703" w:type="pct"/>
            <w:vAlign w:val="center"/>
          </w:tcPr>
          <w:p w14:paraId="32F7A628">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5"/>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1884BF80">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5"/>
              <w:spacing w:before="86" w:line="187" w:lineRule="auto"/>
              <w:rPr>
                <w:spacing w:val="9"/>
              </w:rPr>
            </w:pPr>
          </w:p>
          <w:p w14:paraId="7E7968B4">
            <w:pPr>
              <w:pStyle w:val="5"/>
              <w:spacing w:before="86" w:line="187" w:lineRule="auto"/>
              <w:jc w:val="center"/>
            </w:pPr>
            <w:r>
              <w:rPr>
                <w:spacing w:val="9"/>
              </w:rPr>
              <w:t>质保期</w:t>
            </w:r>
          </w:p>
        </w:tc>
        <w:tc>
          <w:tcPr>
            <w:tcW w:w="4296" w:type="pct"/>
            <w:vAlign w:val="top"/>
          </w:tcPr>
          <w:p w14:paraId="4331210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w:t>
            </w:r>
            <w:r>
              <w:rPr>
                <w:rFonts w:hint="eastAsia"/>
                <w:spacing w:val="6"/>
                <w:lang w:val="en-US" w:eastAsia="zh-CN"/>
              </w:rPr>
              <w:t>1</w:t>
            </w:r>
            <w:r>
              <w:rPr>
                <w:rFonts w:hint="eastAsia"/>
                <w:spacing w:val="6"/>
                <w:lang w:eastAsia="zh-CN"/>
              </w:rPr>
              <w:t>年，质保期内非人为损坏免费更换所有故障零 配件，并免费提供设备的系统软件及硬件的安全性改版升级和技术支持 ，确保设备 正常运行，质保期满后，终身维</w:t>
            </w:r>
            <w:bookmarkStart w:id="0" w:name="_GoBack"/>
            <w:bookmarkEnd w:id="0"/>
            <w:r>
              <w:rPr>
                <w:rFonts w:hint="eastAsia"/>
                <w:spacing w:val="6"/>
                <w:lang w:eastAsia="zh-CN"/>
              </w:rPr>
              <w:t>护。</w:t>
            </w:r>
          </w:p>
          <w:p w14:paraId="57EB2A2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5"/>
              <w:spacing w:before="176" w:line="190" w:lineRule="auto"/>
              <w:ind w:left="125"/>
              <w:jc w:val="center"/>
              <w:outlineLvl w:val="0"/>
              <w:rPr>
                <w:rFonts w:hint="eastAsia"/>
                <w:spacing w:val="6"/>
                <w:lang w:eastAsia="zh-CN"/>
              </w:rPr>
            </w:pPr>
          </w:p>
          <w:p w14:paraId="2889C634">
            <w:pPr>
              <w:pStyle w:val="5"/>
              <w:spacing w:before="176" w:line="190" w:lineRule="auto"/>
              <w:ind w:left="125"/>
              <w:jc w:val="center"/>
              <w:outlineLvl w:val="0"/>
              <w:rPr>
                <w:rFonts w:hint="eastAsia"/>
                <w:spacing w:val="6"/>
                <w:lang w:eastAsia="zh-CN"/>
              </w:rPr>
            </w:pPr>
          </w:p>
          <w:p w14:paraId="71181ABA">
            <w:pPr>
              <w:pStyle w:val="5"/>
              <w:spacing w:before="176" w:line="190" w:lineRule="auto"/>
              <w:ind w:left="125"/>
              <w:jc w:val="center"/>
              <w:outlineLvl w:val="0"/>
              <w:rPr>
                <w:rFonts w:hint="eastAsia"/>
                <w:spacing w:val="6"/>
                <w:lang w:eastAsia="zh-CN"/>
              </w:rPr>
            </w:pPr>
          </w:p>
          <w:p w14:paraId="4B6D23A3">
            <w:pPr>
              <w:pStyle w:val="5"/>
              <w:spacing w:before="176" w:line="190" w:lineRule="auto"/>
              <w:ind w:left="125"/>
              <w:jc w:val="center"/>
              <w:outlineLvl w:val="0"/>
              <w:rPr>
                <w:rFonts w:hint="eastAsia"/>
                <w:spacing w:val="6"/>
                <w:lang w:eastAsia="zh-CN"/>
              </w:rPr>
            </w:pPr>
          </w:p>
          <w:p w14:paraId="0E12FF07">
            <w:pPr>
              <w:pStyle w:val="5"/>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0E5BA4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5"/>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5"/>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5"/>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次。情节特别严重，导致项目无法实施的，采购人免责终止本项目合同。</w:t>
            </w:r>
          </w:p>
          <w:p w14:paraId="4C2126E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35CBD018">
      <w:pPr>
        <w:pStyle w:val="2"/>
        <w:keepNext w:val="0"/>
        <w:keepLines w:val="0"/>
        <w:widowControl/>
        <w:suppressLineNumbers w:val="0"/>
      </w:pPr>
    </w:p>
    <w:p w14:paraId="2EA452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83667"/>
    <w:rsid w:val="170830C2"/>
    <w:rsid w:val="264B4D7A"/>
    <w:rsid w:val="335334BF"/>
    <w:rsid w:val="37977E1F"/>
    <w:rsid w:val="3F4028FA"/>
    <w:rsid w:val="524D7600"/>
    <w:rsid w:val="56FA587C"/>
    <w:rsid w:val="5B6A2FD1"/>
    <w:rsid w:val="6A7F060A"/>
    <w:rsid w:val="710D6480"/>
    <w:rsid w:val="732B7092"/>
    <w:rsid w:val="7E123328"/>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2025-07-24T02:45:59Z</dcterms:created>
  <dc:creator>user</dc:creator>
  <cp:lastModifiedBy>福记</cp:lastModifiedBy>
  <dcterms:modified xsi:type="dcterms:W3CDTF">2025-07-24T03:16:48Z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eyJoZGlkIjoiOGUxNzZkMmQ3N2IyYzdlZDQxMzZlOTA3MjhlYmU3MTIiLCJ1c2VySWQiOiI2ODUyMTk1ODMifQ==</vt:lpwstr>
  </property>
  <property fmtid="{D5CDD505-2E9C-101B-9397-08002B2CF9AE}" pid="4" name="ICV">
    <vt:lpwstr>A73E2B8D59FF489F99FA61B32A3001F2_12</vt:lpwstr>
  </property>
</Properties>
</file>