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B7B3">
      <w:pPr>
        <w:jc w:val="center"/>
        <w:rPr>
          <w:rFonts w:hint="default"/>
          <w:lang w:val="en-US" w:eastAsia="zh-CN"/>
        </w:rPr>
      </w:pPr>
      <w:r>
        <w:rPr>
          <w:rFonts w:hint="eastAsia"/>
          <w:b/>
          <w:bCs/>
          <w:sz w:val="32"/>
          <w:szCs w:val="32"/>
          <w:lang w:val="en-US" w:eastAsia="zh-CN"/>
        </w:rPr>
        <w:t>骨科牵引床需求参数</w:t>
      </w:r>
    </w:p>
    <w:p w14:paraId="09DD3D89">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1.尺寸规格（长宽高）：2130*980*500mm，可移动式三摇病床。</w:t>
      </w:r>
    </w:p>
    <w:p w14:paraId="4916FF29">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hAnsi="宋体" w:eastAsia="宋体" w:cs="宋体"/>
          <w:kern w:val="0"/>
          <w:sz w:val="28"/>
          <w:szCs w:val="28"/>
          <w:lang w:val="en-US" w:eastAsia="zh-CN"/>
        </w:rPr>
        <w:t>▲</w:t>
      </w:r>
      <w:r>
        <w:rPr>
          <w:rFonts w:hint="eastAsia" w:ascii="宋体" w:cs="宋体"/>
          <w:kern w:val="0"/>
          <w:sz w:val="28"/>
          <w:szCs w:val="28"/>
          <w:lang w:val="en-US" w:eastAsia="zh-CN"/>
        </w:rPr>
        <w:t>2.升降功能：床面三摇四折。</w:t>
      </w:r>
    </w:p>
    <w:p w14:paraId="762B4872">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hAnsi="宋体" w:eastAsia="宋体" w:cs="宋体"/>
          <w:kern w:val="0"/>
          <w:sz w:val="28"/>
          <w:szCs w:val="28"/>
          <w:lang w:val="en-US" w:eastAsia="zh-CN"/>
        </w:rPr>
        <w:t>▲</w:t>
      </w:r>
      <w:r>
        <w:rPr>
          <w:rFonts w:hint="eastAsia" w:ascii="宋体" w:cs="宋体"/>
          <w:kern w:val="0"/>
          <w:sz w:val="28"/>
          <w:szCs w:val="28"/>
          <w:lang w:val="en-US" w:eastAsia="zh-CN"/>
        </w:rPr>
        <w:t>3.背部升降：升降角度0～70°/75°,腿部升降：升降角度0～40°，两脚左右板可单独分开在0°～ 40°范围内升降；</w:t>
      </w:r>
    </w:p>
    <w:p w14:paraId="797094C8">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hAnsi="宋体" w:eastAsia="宋体" w:cs="宋体"/>
          <w:kern w:val="0"/>
          <w:sz w:val="28"/>
          <w:szCs w:val="28"/>
          <w:lang w:val="en-US" w:eastAsia="zh-CN"/>
        </w:rPr>
        <w:t>▲</w:t>
      </w:r>
      <w:r>
        <w:rPr>
          <w:rFonts w:hint="eastAsia" w:ascii="宋体" w:cs="宋体"/>
          <w:kern w:val="0"/>
          <w:sz w:val="28"/>
          <w:szCs w:val="28"/>
          <w:lang w:val="en-US" w:eastAsia="zh-CN"/>
        </w:rPr>
        <w:t>5.床框为厚度≥1.2mm优质碳钢钢管材料,床面为优质冷轧钢板一次性冲压成型，整体床面形成一次性冲压板条床面，床尾可分腿牵引；</w:t>
      </w:r>
    </w:p>
    <w:p w14:paraId="30A4AD39">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7.床头、床尾板采用ABS注塑成型，配有固定锁；</w:t>
      </w:r>
      <w:bookmarkStart w:id="0" w:name="_GoBack"/>
      <w:bookmarkEnd w:id="0"/>
      <w:r>
        <w:rPr>
          <w:rFonts w:hint="eastAsia" w:ascii="宋体" w:cs="宋体"/>
          <w:kern w:val="0"/>
          <w:sz w:val="28"/>
          <w:szCs w:val="28"/>
          <w:lang w:val="en-US" w:eastAsia="zh-CN"/>
        </w:rPr>
        <w:t>支架采用优质不锈钢管制作而成，钢管壁厚度≥1.2mm，床尾有机玻璃或透明亚克力材料床头卡；</w:t>
      </w:r>
    </w:p>
    <w:p w14:paraId="20DD0BE0">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hAnsi="宋体" w:eastAsia="宋体" w:cs="宋体"/>
          <w:kern w:val="0"/>
          <w:sz w:val="28"/>
          <w:szCs w:val="28"/>
          <w:lang w:val="en-US" w:eastAsia="zh-CN"/>
        </w:rPr>
        <w:t>▲</w:t>
      </w:r>
      <w:r>
        <w:rPr>
          <w:rFonts w:hint="eastAsia" w:ascii="宋体" w:cs="宋体"/>
          <w:kern w:val="0"/>
          <w:sz w:val="28"/>
          <w:szCs w:val="28"/>
          <w:lang w:val="en-US" w:eastAsia="zh-CN"/>
        </w:rPr>
        <w:t>8.护栏为铝合金折叠式护栏，横梁为优质电泳铝合金，四根立柱为304不锈钢圆管。护栏带有锁件；</w:t>
      </w:r>
    </w:p>
    <w:p w14:paraId="56FC5E3A">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hAnsi="宋体" w:eastAsia="宋体" w:cs="宋体"/>
          <w:kern w:val="0"/>
          <w:sz w:val="28"/>
          <w:szCs w:val="28"/>
          <w:lang w:val="en-US" w:eastAsia="zh-CN"/>
        </w:rPr>
        <w:t>▲</w:t>
      </w:r>
      <w:r>
        <w:rPr>
          <w:rFonts w:hint="eastAsia" w:ascii="宋体" w:cs="宋体"/>
          <w:kern w:val="0"/>
          <w:sz w:val="28"/>
          <w:szCs w:val="28"/>
          <w:lang w:val="en-US" w:eastAsia="zh-CN"/>
        </w:rPr>
        <w:t>9.牵引架为优质铝合金材料，厚度≥1.0mm；</w:t>
      </w:r>
    </w:p>
    <w:p w14:paraId="27D3294B">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11.所有卡具配置优质钢铁锁具及尼龙滑轮，移动方便锁紧牢固；</w:t>
      </w:r>
    </w:p>
    <w:p w14:paraId="130FC4EE">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12.病床脚轮为整体式制动静音耐磨万向脚轮；脚踏开关，杠杆结构；内置全封闭自润滑轴承，防水、防异物卷入，不易生锈；</w:t>
      </w:r>
    </w:p>
    <w:p w14:paraId="74847791">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13.传动装置：摇手为不锈钢材质，摇把和丝杆之间采用“万向接”连接技术，“万向接”为钢件；手摇床丝杆有双向过盈保护装置；</w:t>
      </w:r>
    </w:p>
    <w:p w14:paraId="1B2DB497">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14.可折叠伸缩式输液架，不锈钢材质，带ABS旋转式锁紧装置；</w:t>
      </w:r>
    </w:p>
    <w:p w14:paraId="5375115F">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15.病床两侧均配置引流钩，可移动，便于护理操作；</w:t>
      </w:r>
    </w:p>
    <w:p w14:paraId="2823DA8B">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16.床面承重≥300KG。</w:t>
      </w:r>
    </w:p>
    <w:p w14:paraId="60F462C2">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p>
    <w:p w14:paraId="281D0419">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eastAsia" w:ascii="宋体" w:cs="宋体"/>
          <w:kern w:val="0"/>
          <w:sz w:val="28"/>
          <w:szCs w:val="28"/>
          <w:lang w:val="en-US" w:eastAsia="zh-CN"/>
        </w:rPr>
      </w:pPr>
      <w:r>
        <w:rPr>
          <w:rFonts w:hint="eastAsia" w:ascii="宋体" w:cs="宋体"/>
          <w:kern w:val="0"/>
          <w:sz w:val="28"/>
          <w:szCs w:val="28"/>
          <w:lang w:val="en-US" w:eastAsia="zh-CN"/>
        </w:rPr>
        <w:t>配置清单（单台）：</w:t>
      </w:r>
    </w:p>
    <w:p w14:paraId="4D5AE1A6">
      <w:pPr>
        <w:keepNext w:val="0"/>
        <w:keepLines w:val="0"/>
        <w:pageBreakBefore w:val="0"/>
        <w:widowControl w:val="0"/>
        <w:numPr>
          <w:ilvl w:val="0"/>
          <w:numId w:val="0"/>
        </w:numPr>
        <w:kinsoku/>
        <w:wordWrap/>
        <w:overflowPunct/>
        <w:topLinePunct w:val="0"/>
        <w:autoSpaceDE/>
        <w:autoSpaceDN/>
        <w:bidi w:val="0"/>
        <w:adjustRightInd/>
        <w:snapToGrid w:val="0"/>
        <w:ind w:firstLine="280" w:firstLineChars="100"/>
        <w:textAlignment w:val="auto"/>
        <w:rPr>
          <w:rFonts w:hint="default" w:ascii="宋体" w:cs="宋体"/>
          <w:kern w:val="0"/>
          <w:sz w:val="28"/>
          <w:szCs w:val="28"/>
          <w:lang w:val="en-US" w:eastAsia="zh-CN"/>
        </w:rPr>
      </w:pPr>
      <w:r>
        <w:rPr>
          <w:rFonts w:hint="eastAsia" w:ascii="宋体" w:cs="宋体"/>
          <w:kern w:val="0"/>
          <w:sz w:val="28"/>
          <w:szCs w:val="28"/>
          <w:lang w:val="en-US" w:eastAsia="zh-CN"/>
        </w:rPr>
        <w:t>1、骨科牵引床主机1台；2、三摇传动装置1套；3、铝合金牵引架1副；4、不锈钢输液架1个；5、六档折叠式护栏2套；6、床头床尾各1件；7、静音脚轮4只（含2只制动静音万向轮）；8、引流钩4个；9、尼龙滑轮及钢制卡具1套；10、床头柜1个。</w:t>
      </w:r>
    </w:p>
    <w:p w14:paraId="332BB64E">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54B1B7D6">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3D04A956">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4086DCC0">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30ACB60C">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6ED4CC2A">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236201DD">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4C4253D6">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3D0298FF">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00F31B45">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6EFEDA0C">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5F603A2C">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7DDDF354">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5E2AC1A5">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p w14:paraId="1672DCC5">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p>
    <w:tbl>
      <w:tblPr>
        <w:tblStyle w:val="6"/>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5"/>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32F7A628">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5"/>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0FDF45A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p w14:paraId="1884BF80">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5"/>
              <w:spacing w:before="86" w:line="187" w:lineRule="auto"/>
              <w:rPr>
                <w:spacing w:val="9"/>
              </w:rPr>
            </w:pPr>
          </w:p>
          <w:p w14:paraId="7E7968B4">
            <w:pPr>
              <w:pStyle w:val="5"/>
              <w:spacing w:before="86" w:line="187" w:lineRule="auto"/>
              <w:jc w:val="center"/>
            </w:pPr>
            <w:r>
              <w:rPr>
                <w:spacing w:val="9"/>
              </w:rPr>
              <w:t>质保期</w:t>
            </w:r>
          </w:p>
        </w:tc>
        <w:tc>
          <w:tcPr>
            <w:tcW w:w="4296" w:type="pct"/>
            <w:vAlign w:val="top"/>
          </w:tcPr>
          <w:p w14:paraId="4331210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w:t>
            </w:r>
            <w:r>
              <w:rPr>
                <w:rFonts w:hint="eastAsia"/>
                <w:spacing w:val="6"/>
                <w:lang w:val="en-US" w:eastAsia="zh-CN"/>
              </w:rPr>
              <w:t>3</w:t>
            </w:r>
            <w:r>
              <w:rPr>
                <w:rFonts w:hint="eastAsia"/>
                <w:spacing w:val="6"/>
                <w:lang w:eastAsia="zh-CN"/>
              </w:rPr>
              <w:t>年，质保期内非人为损坏免费更换所有故障零 配件，并免费提供设备的系统软件及硬件的安全性改版升级和技术支持 ，确保设备 正常运行，质保期满后，终身维护。</w:t>
            </w:r>
          </w:p>
          <w:p w14:paraId="57EB2A2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5"/>
              <w:spacing w:before="176" w:line="190" w:lineRule="auto"/>
              <w:ind w:left="125"/>
              <w:jc w:val="center"/>
              <w:outlineLvl w:val="0"/>
              <w:rPr>
                <w:rFonts w:hint="eastAsia"/>
                <w:spacing w:val="6"/>
                <w:lang w:eastAsia="zh-CN"/>
              </w:rPr>
            </w:pPr>
          </w:p>
          <w:p w14:paraId="2889C634">
            <w:pPr>
              <w:pStyle w:val="5"/>
              <w:spacing w:before="176" w:line="190" w:lineRule="auto"/>
              <w:ind w:left="125"/>
              <w:jc w:val="center"/>
              <w:outlineLvl w:val="0"/>
              <w:rPr>
                <w:rFonts w:hint="eastAsia"/>
                <w:spacing w:val="6"/>
                <w:lang w:eastAsia="zh-CN"/>
              </w:rPr>
            </w:pPr>
          </w:p>
          <w:p w14:paraId="71181ABA">
            <w:pPr>
              <w:pStyle w:val="5"/>
              <w:spacing w:before="176" w:line="190" w:lineRule="auto"/>
              <w:ind w:left="125"/>
              <w:jc w:val="center"/>
              <w:outlineLvl w:val="0"/>
              <w:rPr>
                <w:rFonts w:hint="eastAsia"/>
                <w:spacing w:val="6"/>
                <w:lang w:eastAsia="zh-CN"/>
              </w:rPr>
            </w:pPr>
          </w:p>
          <w:p w14:paraId="4B6D23A3">
            <w:pPr>
              <w:pStyle w:val="5"/>
              <w:spacing w:before="176" w:line="190" w:lineRule="auto"/>
              <w:ind w:left="125"/>
              <w:jc w:val="center"/>
              <w:outlineLvl w:val="0"/>
              <w:rPr>
                <w:rFonts w:hint="eastAsia"/>
                <w:spacing w:val="6"/>
                <w:lang w:eastAsia="zh-CN"/>
              </w:rPr>
            </w:pPr>
          </w:p>
          <w:p w14:paraId="0E12FF07">
            <w:pPr>
              <w:pStyle w:val="5"/>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0E5BA4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5"/>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5"/>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5"/>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次。情节特别严重，导致项目无法实施的，采购人免责终止本项目合同。</w:t>
            </w:r>
          </w:p>
          <w:p w14:paraId="4C2126E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034E8D7F">
      <w:pPr>
        <w:keepNext w:val="0"/>
        <w:keepLines w:val="0"/>
        <w:pageBreakBefore w:val="0"/>
        <w:widowControl w:val="0"/>
        <w:numPr>
          <w:ilvl w:val="0"/>
          <w:numId w:val="0"/>
        </w:numPr>
        <w:kinsoku/>
        <w:wordWrap/>
        <w:overflowPunct/>
        <w:topLinePunct w:val="0"/>
        <w:autoSpaceDE/>
        <w:autoSpaceDN/>
        <w:bidi w:val="0"/>
        <w:adjustRightInd/>
        <w:snapToGrid w:val="0"/>
        <w:ind w:firstLine="210" w:firstLineChars="100"/>
        <w:textAlignment w:val="auto"/>
        <w:rPr>
          <w:rFonts w:hint="eastAsia" w:eastAsiaTheme="minorEastAsia"/>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24BF9">
                            <w:pPr>
                              <w:rPr>
                                <w:rFonts w:hint="eastAsia" w:eastAsiaTheme="minorEastAsia"/>
                                <w:b/>
                                <w:color w:val="4472C4" w:themeColor="accent5"/>
                                <w:sz w:val="72"/>
                                <w:lang w:eastAsia="zh-CN"/>
                                <w14:shadow w14:blurRad="12700" w14:dist="38100" w14:dir="2700000" w14:sx="100000" w14:sy="100000" w14:kx="0" w14:ky="0" w14:algn="tl">
                                  <w14:schemeClr w14:val="accent5">
                                    <w14:lumMod w14:val="60000"/>
                                    <w14:lumOff w14:val="40000"/>
                                  </w14:schemeClr>
                                </w14:shadow>
                                <w14:textOutline w14:w="9525">
                                  <w14:solidFill>
                                    <w14:schemeClr w14:val="bg1"/>
                                  </w14:solidFill>
                                  <w14:prstDash w14:val="solid"/>
                                  <w14:round/>
                                </w14:textOutline>
                                <w14:textFill>
                                  <w14:solidFill>
                                    <w14:schemeClr w14:val="accent5"/>
                                  </w14:soli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style:none;z-index:251659264;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jnJLnRAAAABQEAAA8AAAAAAAAAAQAgAAAAIgAAAGRycy9kb3ducmV2LnhtbFBL&#10;AQIUABQAAAAIAIdO4kCVEAI+NgIAAGUEAAAOAAAAAAAAAAEAIAAAACABAABkcnMvZTJvRG9jLnht&#10;bFBLBQYAAAAABgAGAFkBAADIBQAAAAA=&#10;">
                <v:fill on="f" focussize="0,0"/>
                <v:stroke on="f" weight="0.5pt"/>
                <v:imagedata o:title=""/>
                <o:lock v:ext="edit" aspectratio="f"/>
                <v:textbox style="mso-fit-shape-to-text:t;">
                  <w:txbxContent>
                    <w:p w14:paraId="38424BF9">
                      <w:pPr>
                        <w:rPr>
                          <w:rFonts w:hint="eastAsia" w:eastAsiaTheme="minorEastAsia"/>
                          <w:b/>
                          <w:color w:val="4472C4" w:themeColor="accent5"/>
                          <w:sz w:val="72"/>
                          <w:lang w:eastAsia="zh-CN"/>
                          <w14:shadow w14:blurRad="12700" w14:dist="38100" w14:dir="2700000" w14:sx="100000" w14:sy="100000" w14:kx="0" w14:ky="0" w14:algn="tl">
                            <w14:schemeClr w14:val="accent5">
                              <w14:lumMod w14:val="60000"/>
                              <w14:lumOff w14:val="40000"/>
                            </w14:schemeClr>
                          </w14:shadow>
                          <w14:textOutline w14:w="9525">
                            <w14:solidFill>
                              <w14:schemeClr w14:val="bg1"/>
                            </w14:solidFill>
                            <w14:prstDash w14:val="solid"/>
                            <w14:round/>
                          </w14:textOutline>
                          <w14:textFill>
                            <w14:solidFill>
                              <w14:schemeClr w14:val="accent5"/>
                            </w14:solidFill>
                          </w14:textFill>
                        </w:rPr>
                      </w:pP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200B1"/>
    <w:rsid w:val="070457D8"/>
    <w:rsid w:val="09EB2C7F"/>
    <w:rsid w:val="131D034D"/>
    <w:rsid w:val="13C549F7"/>
    <w:rsid w:val="18550589"/>
    <w:rsid w:val="19C332D1"/>
    <w:rsid w:val="1A960DA7"/>
    <w:rsid w:val="1CA914D8"/>
    <w:rsid w:val="1CC730D8"/>
    <w:rsid w:val="1F8E612F"/>
    <w:rsid w:val="1FA8682E"/>
    <w:rsid w:val="207D242B"/>
    <w:rsid w:val="26DB088C"/>
    <w:rsid w:val="276E51C4"/>
    <w:rsid w:val="27C70430"/>
    <w:rsid w:val="29DB68C9"/>
    <w:rsid w:val="2ACD3FAF"/>
    <w:rsid w:val="2B043F4F"/>
    <w:rsid w:val="2B201463"/>
    <w:rsid w:val="33837901"/>
    <w:rsid w:val="34E736EB"/>
    <w:rsid w:val="36BB3856"/>
    <w:rsid w:val="378B76CC"/>
    <w:rsid w:val="39DA0497"/>
    <w:rsid w:val="3A322081"/>
    <w:rsid w:val="3CAC611A"/>
    <w:rsid w:val="40041DC9"/>
    <w:rsid w:val="437B6846"/>
    <w:rsid w:val="45576E3F"/>
    <w:rsid w:val="480E5EDB"/>
    <w:rsid w:val="48CD36B3"/>
    <w:rsid w:val="4DE82D2A"/>
    <w:rsid w:val="533267F6"/>
    <w:rsid w:val="541D74A6"/>
    <w:rsid w:val="5454111A"/>
    <w:rsid w:val="57596A47"/>
    <w:rsid w:val="58B92A7C"/>
    <w:rsid w:val="5D8B36D2"/>
    <w:rsid w:val="5ED03A93"/>
    <w:rsid w:val="60C34F31"/>
    <w:rsid w:val="616E1341"/>
    <w:rsid w:val="62744735"/>
    <w:rsid w:val="64124205"/>
    <w:rsid w:val="64552344"/>
    <w:rsid w:val="6D371181"/>
    <w:rsid w:val="6D741A8D"/>
    <w:rsid w:val="6E292877"/>
    <w:rsid w:val="777B1066"/>
    <w:rsid w:val="77822FF8"/>
    <w:rsid w:val="7C907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5">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473</Words>
  <Characters>526</Characters>
  <Lines>0</Lines>
  <Paragraphs>0</Paragraphs>
  <TotalTime>520</TotalTime>
  <ScaleCrop>false</ScaleCrop>
  <LinksUpToDate>false</LinksUpToDate>
  <CharactersWithSpaces>527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2017-11-20T16:49:00Z</dcterms:created>
  <dc:creator>不二心♡C先森</dc:creator>
  <cp:lastModifiedBy>13677873052</cp:lastModifiedBy>
  <cp:lastPrinted>2020-08-31T10:38:00Z</cp:lastPrinted>
  <dcterms:modified xsi:type="dcterms:W3CDTF">2025-10-21T12:52:44Z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45CDC9624747469D8B24BC75BD2B1F71_13</vt:lpwstr>
  </property>
  <property fmtid="{D5CDD505-2E9C-101B-9397-08002B2CF9AE}" pid="4" name="KSOTemplateDocerSaveRecord">
    <vt:lpwstr>eyJoZGlkIjoiOTVhYmVlNWRhNTNjNGZkZGM4OTVjMWVkYzE0OWE5YTIiLCJ1c2VySWQiOiI0NDQ5NjI5OTAifQ==</vt:lpwstr>
  </property>
</Properties>
</file>